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pPr>
    </w:p>
    <w:p>
      <w:pPr>
        <w:jc w:val="left"/>
      </w:pPr>
    </w:p>
    <w:p>
      <w:pPr>
        <w:jc w:val="left"/>
      </w:pPr>
    </w:p>
    <w:p>
      <w:pPr>
        <w:jc w:val="left"/>
        <w:rPr>
          <w:sz w:val="28"/>
        </w:rPr>
      </w:pPr>
    </w:p>
    <w:p>
      <w:pPr>
        <w:jc w:val="left"/>
        <w:rPr>
          <w:sz w:val="28"/>
        </w:rPr>
      </w:pPr>
    </w:p>
    <w:p>
      <w:pPr>
        <w:jc w:val="left"/>
        <w:rPr>
          <w:sz w:val="28"/>
        </w:rPr>
      </w:pPr>
    </w:p>
    <w:p>
      <w:pPr>
        <w:jc w:val="left"/>
        <w:rPr>
          <w:sz w:val="28"/>
        </w:rPr>
      </w:pPr>
    </w:p>
    <w:p>
      <w:pPr>
        <w:jc w:val="left"/>
      </w:pPr>
    </w:p>
    <w:p>
      <w:pPr>
        <w:jc w:val="left"/>
      </w:pPr>
    </w:p>
    <w:p>
      <w:pPr>
        <w:jc w:val="center"/>
        <w:rPr>
          <w:rFonts w:eastAsia="华文新魏"/>
          <w:b/>
          <w:kern w:val="0"/>
          <w:sz w:val="48"/>
          <w:szCs w:val="48"/>
        </w:rPr>
      </w:pPr>
      <w:r>
        <w:rPr>
          <w:rFonts w:eastAsia="华文新魏"/>
          <w:b/>
          <w:kern w:val="0"/>
          <w:sz w:val="48"/>
          <w:szCs w:val="48"/>
        </w:rPr>
        <w:t>建设项目竣工环境保护</w:t>
      </w:r>
      <w:bookmarkStart w:id="0" w:name="_Toc511573450"/>
    </w:p>
    <w:p>
      <w:pPr>
        <w:jc w:val="center"/>
        <w:rPr>
          <w:rFonts w:eastAsia="华文新魏"/>
          <w:b/>
          <w:kern w:val="0"/>
          <w:sz w:val="48"/>
          <w:szCs w:val="48"/>
        </w:rPr>
      </w:pPr>
      <w:r>
        <w:rPr>
          <w:rFonts w:eastAsia="华文新魏"/>
          <w:b/>
          <w:kern w:val="0"/>
          <w:sz w:val="48"/>
          <w:szCs w:val="48"/>
        </w:rPr>
        <w:t>验收监测报告</w:t>
      </w:r>
      <w:bookmarkEnd w:id="0"/>
      <w:r>
        <w:rPr>
          <w:rFonts w:eastAsia="华文新魏"/>
          <w:b/>
          <w:kern w:val="0"/>
          <w:sz w:val="48"/>
          <w:szCs w:val="48"/>
        </w:rPr>
        <w:t>表</w:t>
      </w:r>
    </w:p>
    <w:p>
      <w:pPr>
        <w:jc w:val="left"/>
        <w:rPr>
          <w:rFonts w:eastAsia="华文新魏"/>
          <w:b/>
          <w:kern w:val="0"/>
          <w:sz w:val="48"/>
          <w:szCs w:val="48"/>
        </w:rPr>
      </w:pPr>
    </w:p>
    <w:p>
      <w:pPr>
        <w:jc w:val="center"/>
        <w:rPr>
          <w:rFonts w:eastAsia="华文新魏"/>
          <w:b/>
          <w:kern w:val="0"/>
          <w:sz w:val="30"/>
          <w:szCs w:val="30"/>
        </w:rPr>
      </w:pPr>
      <w:r>
        <w:rPr>
          <w:rFonts w:eastAsia="华文新魏"/>
          <w:b/>
          <w:kern w:val="0"/>
          <w:sz w:val="30"/>
          <w:szCs w:val="30"/>
        </w:rPr>
        <w:t>森茂（验）字第2019</w:t>
      </w:r>
      <w:r>
        <w:rPr>
          <w:rFonts w:hint="eastAsia" w:eastAsia="华文新魏"/>
          <w:b/>
          <w:kern w:val="0"/>
          <w:sz w:val="30"/>
          <w:szCs w:val="30"/>
        </w:rPr>
        <w:t>014</w:t>
      </w:r>
      <w:r>
        <w:rPr>
          <w:rFonts w:eastAsia="华文新魏"/>
          <w:b/>
          <w:kern w:val="0"/>
          <w:sz w:val="30"/>
          <w:szCs w:val="30"/>
        </w:rPr>
        <w:t>号</w:t>
      </w:r>
    </w:p>
    <w:p>
      <w:pPr>
        <w:jc w:val="left"/>
        <w:rPr>
          <w:sz w:val="32"/>
          <w:szCs w:val="32"/>
        </w:rPr>
      </w:pPr>
    </w:p>
    <w:p>
      <w:pPr>
        <w:jc w:val="left"/>
        <w:rPr>
          <w:sz w:val="32"/>
          <w:szCs w:val="32"/>
        </w:rPr>
      </w:pPr>
    </w:p>
    <w:p>
      <w:pPr>
        <w:jc w:val="left"/>
        <w:rPr>
          <w:sz w:val="32"/>
          <w:szCs w:val="32"/>
        </w:rPr>
      </w:pPr>
    </w:p>
    <w:p>
      <w:pPr>
        <w:jc w:val="left"/>
        <w:rPr>
          <w:sz w:val="24"/>
        </w:rPr>
      </w:pPr>
    </w:p>
    <w:p>
      <w:pPr>
        <w:jc w:val="left"/>
      </w:pPr>
    </w:p>
    <w:p/>
    <w:tbl>
      <w:tblPr>
        <w:tblStyle w:val="18"/>
        <w:tblW w:w="8012" w:type="dxa"/>
        <w:tblInd w:w="210" w:type="dxa"/>
        <w:tblLayout w:type="fixed"/>
        <w:tblCellMar>
          <w:top w:w="0" w:type="dxa"/>
          <w:left w:w="0" w:type="dxa"/>
          <w:bottom w:w="0" w:type="dxa"/>
          <w:right w:w="0" w:type="dxa"/>
        </w:tblCellMar>
      </w:tblPr>
      <w:tblGrid>
        <w:gridCol w:w="1785"/>
        <w:gridCol w:w="6227"/>
      </w:tblGrid>
      <w:tr>
        <w:tblPrEx>
          <w:tblLayout w:type="fixed"/>
          <w:tblCellMar>
            <w:top w:w="0" w:type="dxa"/>
            <w:left w:w="0" w:type="dxa"/>
            <w:bottom w:w="0" w:type="dxa"/>
            <w:right w:w="0" w:type="dxa"/>
          </w:tblCellMar>
        </w:tblPrEx>
        <w:trPr>
          <w:trHeight w:val="654" w:hRule="atLeast"/>
        </w:trPr>
        <w:tc>
          <w:tcPr>
            <w:tcW w:w="1785" w:type="dxa"/>
            <w:tcBorders>
              <w:top w:val="nil"/>
              <w:left w:val="nil"/>
              <w:bottom w:val="nil"/>
              <w:right w:val="nil"/>
            </w:tcBorders>
            <w:vAlign w:val="center"/>
          </w:tcPr>
          <w:p>
            <w:pPr>
              <w:spacing w:line="400" w:lineRule="exact"/>
              <w:jc w:val="center"/>
              <w:rPr>
                <w:rFonts w:eastAsia="华文新魏"/>
                <w:kern w:val="0"/>
                <w:sz w:val="28"/>
                <w:szCs w:val="22"/>
              </w:rPr>
            </w:pPr>
            <w:r>
              <w:rPr>
                <w:rFonts w:eastAsia="华文新魏"/>
                <w:kern w:val="0"/>
                <w:sz w:val="28"/>
                <w:szCs w:val="22"/>
              </w:rPr>
              <w:t>建设单位：</w:t>
            </w:r>
          </w:p>
        </w:tc>
        <w:tc>
          <w:tcPr>
            <w:tcW w:w="6227" w:type="dxa"/>
            <w:tcBorders>
              <w:top w:val="nil"/>
              <w:left w:val="nil"/>
              <w:bottom w:val="single" w:color="auto" w:sz="4" w:space="0"/>
              <w:right w:val="nil"/>
            </w:tcBorders>
            <w:vAlign w:val="center"/>
          </w:tcPr>
          <w:p>
            <w:pPr>
              <w:spacing w:line="400" w:lineRule="exact"/>
              <w:jc w:val="center"/>
              <w:rPr>
                <w:rFonts w:eastAsia="华文新魏"/>
                <w:kern w:val="0"/>
                <w:sz w:val="28"/>
                <w:szCs w:val="22"/>
              </w:rPr>
            </w:pPr>
            <w:r>
              <w:rPr>
                <w:rFonts w:eastAsia="华文新魏"/>
                <w:kern w:val="0"/>
                <w:sz w:val="28"/>
                <w:szCs w:val="22"/>
              </w:rPr>
              <w:t>丰臣（常州）热处理有限公司</w:t>
            </w:r>
          </w:p>
        </w:tc>
      </w:tr>
      <w:tr>
        <w:tblPrEx>
          <w:tblLayout w:type="fixed"/>
          <w:tblCellMar>
            <w:top w:w="0" w:type="dxa"/>
            <w:left w:w="0" w:type="dxa"/>
            <w:bottom w:w="0" w:type="dxa"/>
            <w:right w:w="0" w:type="dxa"/>
          </w:tblCellMar>
        </w:tblPrEx>
        <w:trPr>
          <w:trHeight w:val="654" w:hRule="atLeast"/>
        </w:trPr>
        <w:tc>
          <w:tcPr>
            <w:tcW w:w="1785" w:type="dxa"/>
            <w:tcBorders>
              <w:top w:val="nil"/>
              <w:left w:val="nil"/>
              <w:bottom w:val="nil"/>
              <w:right w:val="nil"/>
            </w:tcBorders>
            <w:vAlign w:val="center"/>
          </w:tcPr>
          <w:p>
            <w:pPr>
              <w:spacing w:line="400" w:lineRule="exact"/>
              <w:jc w:val="center"/>
              <w:rPr>
                <w:rFonts w:eastAsia="华文新魏"/>
                <w:kern w:val="0"/>
                <w:sz w:val="28"/>
                <w:szCs w:val="22"/>
              </w:rPr>
            </w:pPr>
            <w:r>
              <w:rPr>
                <w:rFonts w:eastAsia="华文新魏"/>
                <w:kern w:val="0"/>
                <w:sz w:val="28"/>
                <w:szCs w:val="22"/>
              </w:rPr>
              <w:t>编制单位：</w:t>
            </w:r>
          </w:p>
        </w:tc>
        <w:tc>
          <w:tcPr>
            <w:tcW w:w="6227" w:type="dxa"/>
            <w:tcBorders>
              <w:top w:val="single" w:color="auto" w:sz="4" w:space="0"/>
              <w:left w:val="nil"/>
              <w:bottom w:val="single" w:color="auto" w:sz="4" w:space="0"/>
              <w:right w:val="nil"/>
            </w:tcBorders>
            <w:vAlign w:val="center"/>
          </w:tcPr>
          <w:p>
            <w:pPr>
              <w:spacing w:line="400" w:lineRule="exact"/>
              <w:jc w:val="center"/>
              <w:rPr>
                <w:rFonts w:eastAsia="华文新魏"/>
                <w:kern w:val="0"/>
                <w:sz w:val="28"/>
                <w:szCs w:val="22"/>
              </w:rPr>
            </w:pPr>
            <w:r>
              <w:rPr>
                <w:rFonts w:eastAsia="华文新魏"/>
                <w:kern w:val="0"/>
                <w:sz w:val="28"/>
                <w:szCs w:val="22"/>
              </w:rPr>
              <w:t>森茂检测科技无锡有限公司</w:t>
            </w:r>
          </w:p>
        </w:tc>
      </w:tr>
    </w:tbl>
    <w:p/>
    <w:p/>
    <w:p/>
    <w:p/>
    <w:p/>
    <w:p/>
    <w:p/>
    <w:p/>
    <w:p/>
    <w:p/>
    <w:p/>
    <w:p/>
    <w:p/>
    <w:p/>
    <w:p/>
    <w:p/>
    <w:p/>
    <w:p>
      <w:pPr>
        <w:jc w:val="center"/>
        <w:rPr>
          <w:rFonts w:eastAsia="华文新魏"/>
          <w:kern w:val="0"/>
          <w:sz w:val="36"/>
          <w:szCs w:val="22"/>
        </w:rPr>
      </w:pPr>
      <w:r>
        <w:rPr>
          <w:rFonts w:eastAsia="华文新魏"/>
          <w:kern w:val="0"/>
          <w:sz w:val="36"/>
          <w:szCs w:val="22"/>
        </w:rPr>
        <w:t>2019年</w:t>
      </w:r>
      <w:r>
        <w:rPr>
          <w:rFonts w:hint="eastAsia" w:eastAsia="华文新魏"/>
          <w:kern w:val="0"/>
          <w:sz w:val="36"/>
          <w:szCs w:val="22"/>
        </w:rPr>
        <w:t>4</w:t>
      </w:r>
      <w:r>
        <w:rPr>
          <w:rFonts w:eastAsia="华文新魏"/>
          <w:kern w:val="0"/>
          <w:sz w:val="36"/>
          <w:szCs w:val="22"/>
        </w:rPr>
        <w:t>月</w:t>
      </w:r>
    </w:p>
    <w:p>
      <w:pPr>
        <w:pStyle w:val="6"/>
        <w:adjustRightInd w:val="0"/>
        <w:snapToGrid w:val="0"/>
        <w:spacing w:line="300" w:lineRule="auto"/>
        <w:rPr>
          <w:rFonts w:eastAsia="华文新魏"/>
          <w:kern w:val="0"/>
          <w:sz w:val="36"/>
          <w:szCs w:val="22"/>
        </w:rPr>
        <w:sectPr>
          <w:headerReference r:id="rId3" w:type="even"/>
          <w:footerReference r:id="rId4" w:type="even"/>
          <w:pgSz w:w="11906" w:h="16838"/>
          <w:pgMar w:top="1554" w:right="1800" w:bottom="1327" w:left="1800" w:header="1106" w:footer="737" w:gutter="0"/>
          <w:cols w:space="720" w:num="1"/>
          <w:docGrid w:linePitch="312" w:charSpace="0"/>
        </w:sectPr>
      </w:pPr>
    </w:p>
    <w:p>
      <w:pPr>
        <w:spacing w:before="120" w:line="560" w:lineRule="exact"/>
        <w:rPr>
          <w:rFonts w:eastAsia="仿宋"/>
          <w:bCs/>
          <w:kern w:val="0"/>
          <w:sz w:val="32"/>
          <w:szCs w:val="32"/>
        </w:rPr>
      </w:pPr>
      <w:r>
        <w:rPr>
          <w:rFonts w:eastAsia="仿宋"/>
          <w:bCs/>
          <w:kern w:val="0"/>
          <w:sz w:val="32"/>
          <w:szCs w:val="32"/>
        </w:rPr>
        <w:t>建设单位法人代表：</w:t>
      </w:r>
      <w:r>
        <w:rPr>
          <w:rFonts w:hint="eastAsia" w:eastAsia="仿宋"/>
          <w:bCs/>
          <w:kern w:val="0"/>
          <w:sz w:val="32"/>
          <w:szCs w:val="32"/>
        </w:rPr>
        <w:t>信</w:t>
      </w:r>
      <w:r>
        <w:rPr>
          <w:rFonts w:eastAsia="仿宋"/>
          <w:bCs/>
          <w:kern w:val="0"/>
          <w:sz w:val="32"/>
          <w:szCs w:val="32"/>
        </w:rPr>
        <w:t>田博</w:t>
      </w:r>
    </w:p>
    <w:p>
      <w:pPr>
        <w:spacing w:before="120" w:line="560" w:lineRule="exact"/>
        <w:rPr>
          <w:rFonts w:eastAsia="仿宋"/>
          <w:bCs/>
          <w:kern w:val="0"/>
          <w:sz w:val="32"/>
          <w:szCs w:val="32"/>
        </w:rPr>
      </w:pPr>
      <w:r>
        <w:rPr>
          <w:rFonts w:eastAsia="仿宋"/>
          <w:bCs/>
          <w:kern w:val="0"/>
          <w:sz w:val="32"/>
          <w:szCs w:val="32"/>
        </w:rPr>
        <w:t>编制单位法人代表：仇晓军</w:t>
      </w:r>
    </w:p>
    <w:p>
      <w:pPr>
        <w:spacing w:before="120" w:line="560" w:lineRule="exact"/>
        <w:rPr>
          <w:rFonts w:eastAsia="仿宋"/>
          <w:bCs/>
          <w:kern w:val="0"/>
          <w:sz w:val="32"/>
          <w:szCs w:val="32"/>
        </w:rPr>
      </w:pPr>
      <w:r>
        <w:rPr>
          <w:rFonts w:eastAsia="仿宋"/>
          <w:bCs/>
          <w:spacing w:val="120"/>
          <w:kern w:val="0"/>
          <w:sz w:val="32"/>
          <w:szCs w:val="32"/>
        </w:rPr>
        <w:t>项目负责</w:t>
      </w:r>
      <w:r>
        <w:rPr>
          <w:rFonts w:eastAsia="仿宋"/>
          <w:bCs/>
          <w:kern w:val="0"/>
          <w:sz w:val="32"/>
          <w:szCs w:val="32"/>
        </w:rPr>
        <w:t>人：姚隆文</w:t>
      </w:r>
    </w:p>
    <w:p>
      <w:pPr>
        <w:spacing w:before="120" w:line="560" w:lineRule="exact"/>
        <w:rPr>
          <w:rFonts w:eastAsia="仿宋"/>
          <w:bCs/>
          <w:kern w:val="0"/>
          <w:sz w:val="32"/>
          <w:szCs w:val="32"/>
        </w:rPr>
      </w:pPr>
      <w:r>
        <w:rPr>
          <w:rFonts w:eastAsia="仿宋"/>
          <w:bCs/>
          <w:spacing w:val="400"/>
          <w:kern w:val="0"/>
          <w:sz w:val="32"/>
          <w:szCs w:val="32"/>
        </w:rPr>
        <w:t>填表</w:t>
      </w:r>
      <w:r>
        <w:rPr>
          <w:rFonts w:eastAsia="仿宋"/>
          <w:bCs/>
          <w:kern w:val="0"/>
          <w:sz w:val="32"/>
          <w:szCs w:val="32"/>
        </w:rPr>
        <w:t>人：陈艳秋</w:t>
      </w:r>
    </w:p>
    <w:tbl>
      <w:tblPr>
        <w:tblStyle w:val="18"/>
        <w:tblpPr w:leftFromText="181" w:rightFromText="181" w:vertAnchor="text" w:horzAnchor="margin" w:tblpX="1" w:tblpY="7706"/>
        <w:tblOverlap w:val="never"/>
        <w:tblW w:w="8522" w:type="dxa"/>
        <w:tblInd w:w="0" w:type="dxa"/>
        <w:tblLayout w:type="fixed"/>
        <w:tblCellMar>
          <w:top w:w="0" w:type="dxa"/>
          <w:left w:w="108" w:type="dxa"/>
          <w:bottom w:w="0" w:type="dxa"/>
          <w:right w:w="108" w:type="dxa"/>
        </w:tblCellMar>
      </w:tblPr>
      <w:tblGrid>
        <w:gridCol w:w="4254"/>
        <w:gridCol w:w="4268"/>
      </w:tblGrid>
      <w:tr>
        <w:tblPrEx>
          <w:tblLayout w:type="fixed"/>
          <w:tblCellMar>
            <w:top w:w="0" w:type="dxa"/>
            <w:left w:w="108" w:type="dxa"/>
            <w:bottom w:w="0" w:type="dxa"/>
            <w:right w:w="108" w:type="dxa"/>
          </w:tblCellMar>
        </w:tblPrEx>
        <w:trPr>
          <w:trHeight w:val="642" w:hRule="atLeast"/>
        </w:trPr>
        <w:tc>
          <w:tcPr>
            <w:tcW w:w="4254" w:type="dxa"/>
            <w:tcBorders>
              <w:tl2br w:val="nil"/>
              <w:tr2bl w:val="nil"/>
            </w:tcBorders>
          </w:tcPr>
          <w:p>
            <w:pPr>
              <w:snapToGrid w:val="0"/>
              <w:ind w:left="-2" w:leftChars="-1"/>
              <w:rPr>
                <w:rFonts w:eastAsia="仿宋"/>
                <w:bCs/>
                <w:kern w:val="0"/>
                <w:sz w:val="28"/>
                <w:szCs w:val="28"/>
              </w:rPr>
            </w:pPr>
            <w:r>
              <w:rPr>
                <w:rFonts w:eastAsia="仿宋"/>
                <w:bCs/>
                <w:kern w:val="0"/>
                <w:sz w:val="28"/>
                <w:szCs w:val="28"/>
              </w:rPr>
              <w:t>建设单位：丰臣（常州）热处理有限公司</w:t>
            </w:r>
          </w:p>
        </w:tc>
        <w:tc>
          <w:tcPr>
            <w:tcW w:w="4268" w:type="dxa"/>
            <w:tcBorders>
              <w:tl2br w:val="nil"/>
              <w:tr2bl w:val="nil"/>
            </w:tcBorders>
          </w:tcPr>
          <w:p>
            <w:pPr>
              <w:snapToGrid w:val="0"/>
              <w:ind w:left="-2" w:leftChars="-1"/>
              <w:rPr>
                <w:rFonts w:eastAsia="仿宋"/>
                <w:bCs/>
                <w:kern w:val="0"/>
                <w:sz w:val="28"/>
                <w:szCs w:val="28"/>
              </w:rPr>
            </w:pPr>
            <w:r>
              <w:rPr>
                <w:rFonts w:eastAsia="仿宋"/>
                <w:bCs/>
                <w:kern w:val="0"/>
                <w:sz w:val="28"/>
                <w:szCs w:val="28"/>
              </w:rPr>
              <w:t>编制单位：森茂检测科技无锡有限公司</w:t>
            </w:r>
          </w:p>
        </w:tc>
      </w:tr>
      <w:tr>
        <w:tblPrEx>
          <w:tblLayout w:type="fixed"/>
          <w:tblCellMar>
            <w:top w:w="0" w:type="dxa"/>
            <w:left w:w="108" w:type="dxa"/>
            <w:bottom w:w="0" w:type="dxa"/>
            <w:right w:w="108" w:type="dxa"/>
          </w:tblCellMar>
        </w:tblPrEx>
        <w:trPr>
          <w:trHeight w:val="546" w:hRule="atLeast"/>
        </w:trPr>
        <w:tc>
          <w:tcPr>
            <w:tcW w:w="4254"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电话：</w:t>
            </w:r>
            <w:r>
              <w:rPr>
                <w:rFonts w:hint="eastAsia" w:eastAsia="仿宋"/>
                <w:bCs/>
                <w:kern w:val="0"/>
                <w:sz w:val="28"/>
                <w:szCs w:val="28"/>
              </w:rPr>
              <w:t>13921033280</w:t>
            </w:r>
          </w:p>
        </w:tc>
        <w:tc>
          <w:tcPr>
            <w:tcW w:w="4268"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电话：0510-83212188</w:t>
            </w:r>
          </w:p>
        </w:tc>
      </w:tr>
      <w:tr>
        <w:tblPrEx>
          <w:tblLayout w:type="fixed"/>
          <w:tblCellMar>
            <w:top w:w="0" w:type="dxa"/>
            <w:left w:w="108" w:type="dxa"/>
            <w:bottom w:w="0" w:type="dxa"/>
            <w:right w:w="108" w:type="dxa"/>
          </w:tblCellMar>
        </w:tblPrEx>
        <w:trPr>
          <w:trHeight w:val="563" w:hRule="atLeast"/>
        </w:trPr>
        <w:tc>
          <w:tcPr>
            <w:tcW w:w="4254"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传真：—</w:t>
            </w:r>
          </w:p>
        </w:tc>
        <w:tc>
          <w:tcPr>
            <w:tcW w:w="4268"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传真：—</w:t>
            </w:r>
          </w:p>
        </w:tc>
      </w:tr>
      <w:tr>
        <w:tblPrEx>
          <w:tblLayout w:type="fixed"/>
          <w:tblCellMar>
            <w:top w:w="0" w:type="dxa"/>
            <w:left w:w="108" w:type="dxa"/>
            <w:bottom w:w="0" w:type="dxa"/>
            <w:right w:w="108" w:type="dxa"/>
          </w:tblCellMar>
        </w:tblPrEx>
        <w:trPr>
          <w:trHeight w:val="613" w:hRule="atLeast"/>
        </w:trPr>
        <w:tc>
          <w:tcPr>
            <w:tcW w:w="4254"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邮编：21</w:t>
            </w:r>
            <w:r>
              <w:rPr>
                <w:rFonts w:hint="eastAsia" w:eastAsia="仿宋"/>
                <w:bCs/>
                <w:kern w:val="0"/>
                <w:sz w:val="28"/>
                <w:szCs w:val="28"/>
              </w:rPr>
              <w:t>3000</w:t>
            </w:r>
          </w:p>
        </w:tc>
        <w:tc>
          <w:tcPr>
            <w:tcW w:w="4268"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邮编：214000</w:t>
            </w:r>
          </w:p>
        </w:tc>
      </w:tr>
      <w:tr>
        <w:tblPrEx>
          <w:tblLayout w:type="fixed"/>
          <w:tblCellMar>
            <w:top w:w="0" w:type="dxa"/>
            <w:left w:w="108" w:type="dxa"/>
            <w:bottom w:w="0" w:type="dxa"/>
            <w:right w:w="108" w:type="dxa"/>
          </w:tblCellMar>
        </w:tblPrEx>
        <w:trPr>
          <w:trHeight w:val="993" w:hRule="atLeast"/>
        </w:trPr>
        <w:tc>
          <w:tcPr>
            <w:tcW w:w="4254"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地址：常州市新北区罗溪镇黄河西路388号粤海工业园-常州空港园</w:t>
            </w:r>
          </w:p>
        </w:tc>
        <w:tc>
          <w:tcPr>
            <w:tcW w:w="4268" w:type="dxa"/>
            <w:tcBorders>
              <w:tl2br w:val="nil"/>
              <w:tr2bl w:val="nil"/>
            </w:tcBorders>
            <w:vAlign w:val="center"/>
          </w:tcPr>
          <w:p>
            <w:pPr>
              <w:snapToGrid w:val="0"/>
              <w:ind w:left="-2" w:leftChars="-1"/>
              <w:rPr>
                <w:rFonts w:eastAsia="仿宋"/>
                <w:bCs/>
                <w:kern w:val="0"/>
                <w:sz w:val="28"/>
                <w:szCs w:val="28"/>
              </w:rPr>
            </w:pPr>
            <w:r>
              <w:rPr>
                <w:rFonts w:eastAsia="仿宋"/>
                <w:bCs/>
                <w:kern w:val="0"/>
                <w:sz w:val="28"/>
                <w:szCs w:val="28"/>
              </w:rPr>
              <w:t>地址：无锡市梁溪区汇太路28-2-401</w:t>
            </w:r>
          </w:p>
        </w:tc>
      </w:tr>
    </w:tbl>
    <w:p>
      <w:pPr>
        <w:tabs>
          <w:tab w:val="left" w:pos="6578"/>
        </w:tabs>
        <w:ind w:right="565" w:rightChars="269"/>
        <w:rPr>
          <w:sz w:val="32"/>
          <w:szCs w:val="32"/>
        </w:rPr>
      </w:pPr>
      <w:r>
        <w:rPr>
          <w:sz w:val="32"/>
          <w:szCs w:val="32"/>
        </w:rPr>
        <w:tab/>
      </w: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pPr>
    </w:p>
    <w:p>
      <w:pPr>
        <w:tabs>
          <w:tab w:val="left" w:pos="6578"/>
        </w:tabs>
        <w:ind w:right="565" w:rightChars="269"/>
        <w:rPr>
          <w:sz w:val="32"/>
          <w:szCs w:val="32"/>
        </w:rPr>
        <w:sectPr>
          <w:footerReference r:id="rId5" w:type="default"/>
          <w:pgSz w:w="11906" w:h="16838"/>
          <w:pgMar w:top="1276" w:right="1800" w:bottom="1276" w:left="1800" w:header="851" w:footer="992" w:gutter="0"/>
          <w:pgNumType w:fmt="numberInDash" w:start="1"/>
          <w:cols w:space="720" w:num="1"/>
          <w:docGrid w:type="lines" w:linePitch="312" w:charSpace="0"/>
        </w:sectPr>
      </w:pPr>
    </w:p>
    <w:p>
      <w:pPr>
        <w:tabs>
          <w:tab w:val="left" w:pos="6578"/>
        </w:tabs>
        <w:ind w:right="565" w:rightChars="269"/>
        <w:outlineLvl w:val="0"/>
        <w:rPr>
          <w:sz w:val="24"/>
        </w:rPr>
      </w:pPr>
      <w:r>
        <w:rPr>
          <w:sz w:val="24"/>
        </w:rPr>
        <w:t>表一</w:t>
      </w:r>
    </w:p>
    <w:tbl>
      <w:tblPr>
        <w:tblStyle w:val="18"/>
        <w:tblW w:w="91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41"/>
        <w:gridCol w:w="1228"/>
        <w:gridCol w:w="561"/>
        <w:gridCol w:w="669"/>
        <w:gridCol w:w="46"/>
        <w:gridCol w:w="708"/>
        <w:gridCol w:w="368"/>
        <w:gridCol w:w="108"/>
        <w:gridCol w:w="517"/>
        <w:gridCol w:w="712"/>
        <w:gridCol w:w="269"/>
        <w:gridCol w:w="578"/>
        <w:gridCol w:w="38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建设项目名称</w:t>
            </w:r>
          </w:p>
        </w:tc>
        <w:tc>
          <w:tcPr>
            <w:tcW w:w="7380" w:type="dxa"/>
            <w:gridSpan w:val="13"/>
            <w:vAlign w:val="center"/>
          </w:tcPr>
          <w:p>
            <w:pPr>
              <w:jc w:val="center"/>
              <w:rPr>
                <w:sz w:val="24"/>
              </w:rPr>
            </w:pPr>
            <w:r>
              <w:rPr>
                <w:sz w:val="24"/>
              </w:rPr>
              <w:t>新建金属制品热处理加工项目</w:t>
            </w:r>
            <w:r>
              <w:rPr>
                <w:rFonts w:hint="eastAsia"/>
                <w:sz w:val="24"/>
              </w:rPr>
              <w:t>（第一阶段）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tcBorders>
              <w:bottom w:val="single" w:color="auto" w:sz="4" w:space="0"/>
            </w:tcBorders>
            <w:vAlign w:val="center"/>
          </w:tcPr>
          <w:p>
            <w:pPr>
              <w:jc w:val="center"/>
              <w:rPr>
                <w:sz w:val="24"/>
              </w:rPr>
            </w:pPr>
            <w:r>
              <w:rPr>
                <w:sz w:val="24"/>
              </w:rPr>
              <w:t>建设单位名称</w:t>
            </w:r>
          </w:p>
        </w:tc>
        <w:tc>
          <w:tcPr>
            <w:tcW w:w="7380" w:type="dxa"/>
            <w:gridSpan w:val="13"/>
            <w:tcBorders>
              <w:bottom w:val="single" w:color="auto" w:sz="4" w:space="0"/>
            </w:tcBorders>
            <w:vAlign w:val="center"/>
          </w:tcPr>
          <w:p>
            <w:pPr>
              <w:jc w:val="center"/>
              <w:rPr>
                <w:sz w:val="24"/>
              </w:rPr>
            </w:pPr>
            <w:r>
              <w:rPr>
                <w:sz w:val="24"/>
              </w:rPr>
              <w:t>丰臣（常州）热处理有限公司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建设项目性质</w:t>
            </w:r>
          </w:p>
        </w:tc>
        <w:tc>
          <w:tcPr>
            <w:tcW w:w="1789" w:type="dxa"/>
            <w:gridSpan w:val="2"/>
            <w:tcBorders>
              <w:right w:val="nil"/>
            </w:tcBorders>
            <w:vAlign w:val="center"/>
          </w:tcPr>
          <w:p>
            <w:pPr>
              <w:jc w:val="center"/>
              <w:rPr>
                <w:sz w:val="24"/>
              </w:rPr>
            </w:pPr>
            <w:r>
              <w:rPr>
                <w:sz w:val="24"/>
              </w:rPr>
              <w:t>√新建</w:t>
            </w:r>
          </w:p>
        </w:tc>
        <w:tc>
          <w:tcPr>
            <w:tcW w:w="1791" w:type="dxa"/>
            <w:gridSpan w:val="4"/>
            <w:tcBorders>
              <w:left w:val="nil"/>
              <w:right w:val="nil"/>
            </w:tcBorders>
            <w:vAlign w:val="center"/>
          </w:tcPr>
          <w:p>
            <w:pPr>
              <w:jc w:val="center"/>
              <w:rPr>
                <w:sz w:val="24"/>
              </w:rPr>
            </w:pPr>
            <w:r>
              <w:rPr>
                <w:sz w:val="24"/>
              </w:rPr>
              <w:t>扩建</w:t>
            </w:r>
          </w:p>
        </w:tc>
        <w:tc>
          <w:tcPr>
            <w:tcW w:w="1606" w:type="dxa"/>
            <w:gridSpan w:val="4"/>
            <w:tcBorders>
              <w:left w:val="nil"/>
              <w:right w:val="nil"/>
            </w:tcBorders>
            <w:vAlign w:val="center"/>
          </w:tcPr>
          <w:p>
            <w:pPr>
              <w:jc w:val="center"/>
              <w:rPr>
                <w:sz w:val="24"/>
              </w:rPr>
            </w:pPr>
            <w:r>
              <w:rPr>
                <w:sz w:val="24"/>
              </w:rPr>
              <w:t>技改</w:t>
            </w:r>
          </w:p>
        </w:tc>
        <w:tc>
          <w:tcPr>
            <w:tcW w:w="2194" w:type="dxa"/>
            <w:gridSpan w:val="3"/>
            <w:tcBorders>
              <w:left w:val="nil"/>
            </w:tcBorders>
            <w:vAlign w:val="center"/>
          </w:tcPr>
          <w:p>
            <w:pPr>
              <w:jc w:val="center"/>
              <w:rPr>
                <w:sz w:val="24"/>
              </w:rPr>
            </w:pPr>
            <w:r>
              <w:rPr>
                <w:sz w:val="24"/>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建设地址</w:t>
            </w:r>
          </w:p>
        </w:tc>
        <w:tc>
          <w:tcPr>
            <w:tcW w:w="7380" w:type="dxa"/>
            <w:gridSpan w:val="13"/>
            <w:vAlign w:val="center"/>
          </w:tcPr>
          <w:p>
            <w:pPr>
              <w:jc w:val="center"/>
              <w:rPr>
                <w:sz w:val="24"/>
              </w:rPr>
            </w:pPr>
            <w:r>
              <w:rPr>
                <w:sz w:val="24"/>
              </w:rPr>
              <w:t>常州市新北区罗溪镇黄河西路388号粤海工业园-常州空港园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主要产品名称</w:t>
            </w:r>
          </w:p>
        </w:tc>
        <w:tc>
          <w:tcPr>
            <w:tcW w:w="1228" w:type="dxa"/>
            <w:vAlign w:val="center"/>
          </w:tcPr>
          <w:p>
            <w:pPr>
              <w:jc w:val="center"/>
              <w:rPr>
                <w:sz w:val="24"/>
              </w:rPr>
            </w:pPr>
            <w:r>
              <w:rPr>
                <w:sz w:val="24"/>
              </w:rPr>
              <w:t>汽车用冷间锻造零件</w:t>
            </w:r>
          </w:p>
        </w:tc>
        <w:tc>
          <w:tcPr>
            <w:tcW w:w="1230" w:type="dxa"/>
            <w:gridSpan w:val="2"/>
            <w:vAlign w:val="center"/>
          </w:tcPr>
          <w:p>
            <w:pPr>
              <w:jc w:val="center"/>
              <w:rPr>
                <w:sz w:val="24"/>
              </w:rPr>
            </w:pPr>
            <w:r>
              <w:rPr>
                <w:rFonts w:hint="eastAsia"/>
                <w:sz w:val="24"/>
              </w:rPr>
              <w:t>柴油机及汽油机燃油喷射装置</w:t>
            </w:r>
          </w:p>
        </w:tc>
        <w:tc>
          <w:tcPr>
            <w:tcW w:w="1230" w:type="dxa"/>
            <w:gridSpan w:val="4"/>
            <w:vAlign w:val="center"/>
          </w:tcPr>
          <w:p>
            <w:pPr>
              <w:jc w:val="center"/>
              <w:rPr>
                <w:sz w:val="24"/>
              </w:rPr>
            </w:pPr>
            <w:r>
              <w:rPr>
                <w:rFonts w:hint="eastAsia"/>
                <w:sz w:val="24"/>
              </w:rPr>
              <w:t>汽车</w:t>
            </w:r>
            <w:r>
              <w:rPr>
                <w:sz w:val="24"/>
              </w:rPr>
              <w:t>用继电器零件</w:t>
            </w:r>
          </w:p>
        </w:tc>
        <w:tc>
          <w:tcPr>
            <w:tcW w:w="1229" w:type="dxa"/>
            <w:gridSpan w:val="2"/>
            <w:vAlign w:val="center"/>
          </w:tcPr>
          <w:p>
            <w:pPr>
              <w:jc w:val="center"/>
              <w:rPr>
                <w:sz w:val="24"/>
              </w:rPr>
            </w:pPr>
            <w:r>
              <w:rPr>
                <w:rFonts w:hint="eastAsia"/>
                <w:sz w:val="24"/>
              </w:rPr>
              <w:t>自行车用刹车零部件</w:t>
            </w:r>
          </w:p>
        </w:tc>
        <w:tc>
          <w:tcPr>
            <w:tcW w:w="1230" w:type="dxa"/>
            <w:gridSpan w:val="3"/>
            <w:vAlign w:val="center"/>
          </w:tcPr>
          <w:p>
            <w:pPr>
              <w:jc w:val="center"/>
              <w:rPr>
                <w:sz w:val="24"/>
              </w:rPr>
            </w:pPr>
            <w:r>
              <w:rPr>
                <w:rFonts w:hint="eastAsia"/>
                <w:sz w:val="24"/>
              </w:rPr>
              <w:t>冷、热间锻造用金属模具</w:t>
            </w:r>
          </w:p>
        </w:tc>
        <w:tc>
          <w:tcPr>
            <w:tcW w:w="1233" w:type="dxa"/>
            <w:vAlign w:val="center"/>
          </w:tcPr>
          <w:p>
            <w:pPr>
              <w:jc w:val="center"/>
              <w:rPr>
                <w:sz w:val="24"/>
              </w:rPr>
            </w:pPr>
            <w:r>
              <w:rPr>
                <w:rFonts w:hint="eastAsia"/>
                <w:sz w:val="24"/>
              </w:rPr>
              <w:t>机械零件不锈钢零件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设计生产能力</w:t>
            </w:r>
          </w:p>
        </w:tc>
        <w:tc>
          <w:tcPr>
            <w:tcW w:w="1228" w:type="dxa"/>
            <w:vAlign w:val="center"/>
          </w:tcPr>
          <w:p>
            <w:pPr>
              <w:jc w:val="center"/>
              <w:rPr>
                <w:sz w:val="24"/>
              </w:rPr>
            </w:pPr>
            <w:r>
              <w:rPr>
                <w:rFonts w:hint="eastAsia"/>
                <w:sz w:val="24"/>
              </w:rPr>
              <w:t>180万个/年</w:t>
            </w:r>
          </w:p>
        </w:tc>
        <w:tc>
          <w:tcPr>
            <w:tcW w:w="1230" w:type="dxa"/>
            <w:gridSpan w:val="2"/>
            <w:vAlign w:val="center"/>
          </w:tcPr>
          <w:p>
            <w:pPr>
              <w:jc w:val="center"/>
              <w:rPr>
                <w:sz w:val="24"/>
              </w:rPr>
            </w:pPr>
            <w:r>
              <w:rPr>
                <w:rFonts w:hint="eastAsia"/>
                <w:sz w:val="24"/>
              </w:rPr>
              <w:t>900万套/年</w:t>
            </w:r>
          </w:p>
        </w:tc>
        <w:tc>
          <w:tcPr>
            <w:tcW w:w="1230" w:type="dxa"/>
            <w:gridSpan w:val="4"/>
            <w:vAlign w:val="center"/>
          </w:tcPr>
          <w:p>
            <w:pPr>
              <w:jc w:val="center"/>
              <w:rPr>
                <w:sz w:val="24"/>
              </w:rPr>
            </w:pPr>
            <w:r>
              <w:rPr>
                <w:rFonts w:hint="eastAsia"/>
                <w:sz w:val="24"/>
              </w:rPr>
              <w:t>240万套/年</w:t>
            </w:r>
          </w:p>
        </w:tc>
        <w:tc>
          <w:tcPr>
            <w:tcW w:w="1229" w:type="dxa"/>
            <w:gridSpan w:val="2"/>
            <w:vAlign w:val="center"/>
          </w:tcPr>
          <w:p>
            <w:pPr>
              <w:jc w:val="center"/>
              <w:rPr>
                <w:sz w:val="24"/>
              </w:rPr>
            </w:pPr>
            <w:r>
              <w:rPr>
                <w:rFonts w:hint="eastAsia"/>
                <w:sz w:val="24"/>
              </w:rPr>
              <w:t>720万套/年</w:t>
            </w:r>
          </w:p>
        </w:tc>
        <w:tc>
          <w:tcPr>
            <w:tcW w:w="1230" w:type="dxa"/>
            <w:gridSpan w:val="3"/>
            <w:vAlign w:val="center"/>
          </w:tcPr>
          <w:p>
            <w:pPr>
              <w:jc w:val="center"/>
              <w:rPr>
                <w:sz w:val="24"/>
              </w:rPr>
            </w:pPr>
            <w:r>
              <w:rPr>
                <w:rFonts w:hint="eastAsia"/>
                <w:sz w:val="24"/>
              </w:rPr>
              <w:t>2500公斤/年</w:t>
            </w:r>
          </w:p>
        </w:tc>
        <w:tc>
          <w:tcPr>
            <w:tcW w:w="1233" w:type="dxa"/>
            <w:vAlign w:val="center"/>
          </w:tcPr>
          <w:p>
            <w:pPr>
              <w:jc w:val="center"/>
              <w:rPr>
                <w:sz w:val="24"/>
              </w:rPr>
            </w:pPr>
            <w:r>
              <w:rPr>
                <w:rFonts w:hint="eastAsia"/>
                <w:sz w:val="24"/>
              </w:rPr>
              <w:t>120万个/年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pPr>
            <w:r>
              <w:rPr>
                <w:sz w:val="24"/>
              </w:rPr>
              <w:t>实际生产能力</w:t>
            </w:r>
          </w:p>
        </w:tc>
        <w:tc>
          <w:tcPr>
            <w:tcW w:w="1228" w:type="dxa"/>
            <w:vAlign w:val="center"/>
          </w:tcPr>
          <w:p>
            <w:pPr>
              <w:jc w:val="center"/>
              <w:rPr>
                <w:sz w:val="24"/>
              </w:rPr>
            </w:pPr>
            <w:r>
              <w:rPr>
                <w:rFonts w:hint="eastAsia"/>
                <w:sz w:val="24"/>
              </w:rPr>
              <w:t>120万个/年</w:t>
            </w:r>
          </w:p>
        </w:tc>
        <w:tc>
          <w:tcPr>
            <w:tcW w:w="1230" w:type="dxa"/>
            <w:gridSpan w:val="2"/>
            <w:vAlign w:val="center"/>
          </w:tcPr>
          <w:p>
            <w:pPr>
              <w:jc w:val="center"/>
              <w:rPr>
                <w:sz w:val="24"/>
              </w:rPr>
            </w:pPr>
            <w:r>
              <w:rPr>
                <w:rFonts w:hint="eastAsia"/>
                <w:sz w:val="24"/>
              </w:rPr>
              <w:t>600万套/年</w:t>
            </w:r>
          </w:p>
        </w:tc>
        <w:tc>
          <w:tcPr>
            <w:tcW w:w="1230" w:type="dxa"/>
            <w:gridSpan w:val="4"/>
            <w:vAlign w:val="center"/>
          </w:tcPr>
          <w:p>
            <w:pPr>
              <w:jc w:val="center"/>
              <w:rPr>
                <w:sz w:val="24"/>
              </w:rPr>
            </w:pPr>
            <w:r>
              <w:rPr>
                <w:rFonts w:hint="eastAsia"/>
                <w:sz w:val="24"/>
              </w:rPr>
              <w:t>160万套/年</w:t>
            </w:r>
          </w:p>
        </w:tc>
        <w:tc>
          <w:tcPr>
            <w:tcW w:w="1229" w:type="dxa"/>
            <w:gridSpan w:val="2"/>
            <w:vAlign w:val="center"/>
          </w:tcPr>
          <w:p>
            <w:pPr>
              <w:jc w:val="center"/>
              <w:rPr>
                <w:sz w:val="24"/>
              </w:rPr>
            </w:pPr>
            <w:r>
              <w:rPr>
                <w:rFonts w:hint="eastAsia"/>
                <w:sz w:val="24"/>
              </w:rPr>
              <w:t>480万套/年</w:t>
            </w:r>
          </w:p>
        </w:tc>
        <w:tc>
          <w:tcPr>
            <w:tcW w:w="1230" w:type="dxa"/>
            <w:gridSpan w:val="3"/>
            <w:vAlign w:val="center"/>
          </w:tcPr>
          <w:p>
            <w:pPr>
              <w:jc w:val="center"/>
              <w:rPr>
                <w:sz w:val="24"/>
              </w:rPr>
            </w:pPr>
            <w:r>
              <w:rPr>
                <w:rFonts w:hint="eastAsia"/>
                <w:sz w:val="24"/>
              </w:rPr>
              <w:t>1667公斤/年</w:t>
            </w:r>
          </w:p>
        </w:tc>
        <w:tc>
          <w:tcPr>
            <w:tcW w:w="1233" w:type="dxa"/>
            <w:vAlign w:val="center"/>
          </w:tcPr>
          <w:p>
            <w:pPr>
              <w:jc w:val="center"/>
              <w:rPr>
                <w:sz w:val="24"/>
              </w:rPr>
            </w:pPr>
            <w:r>
              <w:rPr>
                <w:rFonts w:hint="eastAsia"/>
                <w:sz w:val="24"/>
              </w:rPr>
              <w:t>80万个/年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环评时间</w:t>
            </w:r>
          </w:p>
        </w:tc>
        <w:tc>
          <w:tcPr>
            <w:tcW w:w="2504" w:type="dxa"/>
            <w:gridSpan w:val="4"/>
            <w:vAlign w:val="center"/>
          </w:tcPr>
          <w:p>
            <w:pPr>
              <w:jc w:val="center"/>
              <w:rPr>
                <w:sz w:val="24"/>
              </w:rPr>
            </w:pPr>
            <w:r>
              <w:rPr>
                <w:sz w:val="24"/>
              </w:rPr>
              <w:t>201</w:t>
            </w:r>
            <w:r>
              <w:rPr>
                <w:rFonts w:hint="eastAsia"/>
                <w:sz w:val="24"/>
              </w:rPr>
              <w:t>4</w:t>
            </w:r>
            <w:r>
              <w:rPr>
                <w:sz w:val="24"/>
              </w:rPr>
              <w:t>.</w:t>
            </w:r>
            <w:r>
              <w:rPr>
                <w:rFonts w:hint="eastAsia"/>
                <w:sz w:val="24"/>
              </w:rPr>
              <w:t>6</w:t>
            </w:r>
          </w:p>
        </w:tc>
        <w:tc>
          <w:tcPr>
            <w:tcW w:w="1701" w:type="dxa"/>
            <w:gridSpan w:val="4"/>
            <w:vAlign w:val="center"/>
          </w:tcPr>
          <w:p>
            <w:pPr>
              <w:jc w:val="center"/>
              <w:rPr>
                <w:sz w:val="24"/>
              </w:rPr>
            </w:pPr>
            <w:r>
              <w:rPr>
                <w:sz w:val="24"/>
              </w:rPr>
              <w:t>开工时间</w:t>
            </w:r>
          </w:p>
        </w:tc>
        <w:tc>
          <w:tcPr>
            <w:tcW w:w="3175" w:type="dxa"/>
            <w:gridSpan w:val="5"/>
            <w:vAlign w:val="center"/>
          </w:tcPr>
          <w:p>
            <w:pPr>
              <w:jc w:val="center"/>
              <w:rPr>
                <w:sz w:val="24"/>
              </w:rPr>
            </w:pPr>
            <w:r>
              <w:rPr>
                <w:sz w:val="24"/>
              </w:rPr>
              <w:t>201</w:t>
            </w:r>
            <w:r>
              <w:rPr>
                <w:rFonts w:hint="eastAsia"/>
                <w:sz w:val="24"/>
              </w:rPr>
              <w:t>5</w:t>
            </w:r>
            <w:r>
              <w:rPr>
                <w:sz w:val="24"/>
              </w:rPr>
              <w:t>.</w:t>
            </w:r>
            <w:r>
              <w:rPr>
                <w:rFonts w:hint="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调试时间</w:t>
            </w:r>
          </w:p>
        </w:tc>
        <w:tc>
          <w:tcPr>
            <w:tcW w:w="2504" w:type="dxa"/>
            <w:gridSpan w:val="4"/>
            <w:vAlign w:val="center"/>
          </w:tcPr>
          <w:p>
            <w:pPr>
              <w:jc w:val="center"/>
              <w:rPr>
                <w:sz w:val="24"/>
              </w:rPr>
            </w:pPr>
            <w:r>
              <w:rPr>
                <w:sz w:val="24"/>
              </w:rPr>
              <w:t>2018年</w:t>
            </w:r>
            <w:r>
              <w:rPr>
                <w:rFonts w:hint="eastAsia"/>
                <w:sz w:val="24"/>
              </w:rPr>
              <w:t>8</w:t>
            </w:r>
            <w:r>
              <w:rPr>
                <w:sz w:val="24"/>
              </w:rPr>
              <w:t>月</w:t>
            </w:r>
          </w:p>
        </w:tc>
        <w:tc>
          <w:tcPr>
            <w:tcW w:w="1701" w:type="dxa"/>
            <w:gridSpan w:val="4"/>
            <w:vAlign w:val="center"/>
          </w:tcPr>
          <w:p>
            <w:pPr>
              <w:jc w:val="center"/>
              <w:rPr>
                <w:sz w:val="24"/>
              </w:rPr>
            </w:pPr>
            <w:r>
              <w:rPr>
                <w:sz w:val="24"/>
              </w:rPr>
              <w:t>现场监测时间</w:t>
            </w:r>
          </w:p>
        </w:tc>
        <w:tc>
          <w:tcPr>
            <w:tcW w:w="3175" w:type="dxa"/>
            <w:gridSpan w:val="5"/>
            <w:vAlign w:val="center"/>
          </w:tcPr>
          <w:p>
            <w:pPr>
              <w:jc w:val="center"/>
              <w:rPr>
                <w:sz w:val="24"/>
              </w:rPr>
            </w:pPr>
            <w:r>
              <w:rPr>
                <w:sz w:val="24"/>
              </w:rPr>
              <w:t>2019年</w:t>
            </w:r>
            <w:r>
              <w:rPr>
                <w:rFonts w:hint="eastAsia"/>
                <w:sz w:val="24"/>
              </w:rPr>
              <w:t>3</w:t>
            </w:r>
            <w:r>
              <w:rPr>
                <w:sz w:val="24"/>
              </w:rPr>
              <w:t>月</w:t>
            </w:r>
            <w:r>
              <w:rPr>
                <w:rFonts w:hint="eastAsia"/>
                <w:sz w:val="24"/>
              </w:rPr>
              <w:t>20</w:t>
            </w:r>
            <w:r>
              <w:rPr>
                <w:sz w:val="24"/>
              </w:rPr>
              <w:t>日~2</w:t>
            </w:r>
            <w:r>
              <w:rPr>
                <w:rFonts w:hint="eastAsia"/>
                <w:sz w:val="24"/>
              </w:rPr>
              <w:t>1</w:t>
            </w:r>
            <w:r>
              <w:rPr>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tcBorders>
              <w:bottom w:val="single" w:color="auto" w:sz="4" w:space="0"/>
            </w:tcBorders>
            <w:vAlign w:val="center"/>
          </w:tcPr>
          <w:p>
            <w:pPr>
              <w:jc w:val="center"/>
              <w:rPr>
                <w:sz w:val="24"/>
              </w:rPr>
            </w:pPr>
            <w:r>
              <w:rPr>
                <w:sz w:val="24"/>
              </w:rPr>
              <w:t>环评报告表审批部门</w:t>
            </w:r>
          </w:p>
        </w:tc>
        <w:tc>
          <w:tcPr>
            <w:tcW w:w="2504" w:type="dxa"/>
            <w:gridSpan w:val="4"/>
            <w:tcBorders>
              <w:bottom w:val="single" w:color="auto" w:sz="4" w:space="0"/>
            </w:tcBorders>
            <w:vAlign w:val="center"/>
          </w:tcPr>
          <w:p>
            <w:pPr>
              <w:jc w:val="center"/>
              <w:rPr>
                <w:sz w:val="24"/>
              </w:rPr>
            </w:pPr>
            <w:r>
              <w:rPr>
                <w:sz w:val="24"/>
              </w:rPr>
              <w:t>常州国家高新区环境保护局</w:t>
            </w:r>
          </w:p>
        </w:tc>
        <w:tc>
          <w:tcPr>
            <w:tcW w:w="1701" w:type="dxa"/>
            <w:gridSpan w:val="4"/>
            <w:tcBorders>
              <w:bottom w:val="single" w:color="auto" w:sz="4" w:space="0"/>
            </w:tcBorders>
            <w:vAlign w:val="center"/>
          </w:tcPr>
          <w:p>
            <w:pPr>
              <w:jc w:val="center"/>
              <w:rPr>
                <w:sz w:val="24"/>
              </w:rPr>
            </w:pPr>
            <w:r>
              <w:rPr>
                <w:sz w:val="24"/>
              </w:rPr>
              <w:t>环评报告表编制单位</w:t>
            </w:r>
          </w:p>
        </w:tc>
        <w:tc>
          <w:tcPr>
            <w:tcW w:w="3175" w:type="dxa"/>
            <w:gridSpan w:val="5"/>
            <w:tcBorders>
              <w:bottom w:val="single" w:color="auto" w:sz="4" w:space="0"/>
            </w:tcBorders>
            <w:vAlign w:val="center"/>
          </w:tcPr>
          <w:p>
            <w:pPr>
              <w:jc w:val="center"/>
              <w:rPr>
                <w:sz w:val="24"/>
                <w:highlight w:val="yellow"/>
              </w:rPr>
            </w:pPr>
            <w:r>
              <w:rPr>
                <w:sz w:val="24"/>
              </w:rPr>
              <w:t>江苏常环环境科技有限公司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tcBorders>
              <w:bottom w:val="single" w:color="auto" w:sz="4" w:space="0"/>
            </w:tcBorders>
            <w:vAlign w:val="center"/>
          </w:tcPr>
          <w:p>
            <w:pPr>
              <w:jc w:val="center"/>
              <w:rPr>
                <w:sz w:val="24"/>
              </w:rPr>
            </w:pPr>
            <w:r>
              <w:rPr>
                <w:sz w:val="24"/>
              </w:rPr>
              <w:t>环保设施设计单位</w:t>
            </w:r>
          </w:p>
        </w:tc>
        <w:tc>
          <w:tcPr>
            <w:tcW w:w="2504" w:type="dxa"/>
            <w:gridSpan w:val="4"/>
            <w:tcBorders>
              <w:bottom w:val="single" w:color="auto" w:sz="4" w:space="0"/>
            </w:tcBorders>
            <w:vAlign w:val="center"/>
          </w:tcPr>
          <w:p>
            <w:pPr>
              <w:jc w:val="center"/>
              <w:rPr>
                <w:sz w:val="24"/>
              </w:rPr>
            </w:pPr>
            <w:r>
              <w:rPr>
                <w:sz w:val="24"/>
              </w:rPr>
              <w:t>/</w:t>
            </w:r>
          </w:p>
        </w:tc>
        <w:tc>
          <w:tcPr>
            <w:tcW w:w="1701" w:type="dxa"/>
            <w:gridSpan w:val="4"/>
            <w:tcBorders>
              <w:bottom w:val="single" w:color="auto" w:sz="4" w:space="0"/>
            </w:tcBorders>
            <w:vAlign w:val="center"/>
          </w:tcPr>
          <w:p>
            <w:pPr>
              <w:jc w:val="center"/>
              <w:rPr>
                <w:sz w:val="24"/>
              </w:rPr>
            </w:pPr>
            <w:r>
              <w:rPr>
                <w:sz w:val="24"/>
              </w:rPr>
              <w:t>环保设施施工</w:t>
            </w:r>
          </w:p>
          <w:p>
            <w:pPr>
              <w:jc w:val="center"/>
              <w:rPr>
                <w:sz w:val="24"/>
              </w:rPr>
            </w:pPr>
            <w:r>
              <w:rPr>
                <w:sz w:val="24"/>
              </w:rPr>
              <w:t>单位</w:t>
            </w:r>
          </w:p>
        </w:tc>
        <w:tc>
          <w:tcPr>
            <w:tcW w:w="3175" w:type="dxa"/>
            <w:gridSpan w:val="5"/>
            <w:tcBorders>
              <w:bottom w:val="single" w:color="auto" w:sz="4" w:space="0"/>
            </w:tcBorders>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投资总概算</w:t>
            </w:r>
          </w:p>
        </w:tc>
        <w:tc>
          <w:tcPr>
            <w:tcW w:w="1228" w:type="dxa"/>
            <w:vAlign w:val="center"/>
          </w:tcPr>
          <w:p>
            <w:pPr>
              <w:jc w:val="center"/>
              <w:rPr>
                <w:sz w:val="24"/>
              </w:rPr>
            </w:pPr>
            <w:r>
              <w:rPr>
                <w:rFonts w:hint="eastAsia"/>
                <w:sz w:val="24"/>
              </w:rPr>
              <w:t>800</w:t>
            </w:r>
            <w:r>
              <w:rPr>
                <w:sz w:val="24"/>
              </w:rPr>
              <w:t>万美元</w:t>
            </w:r>
          </w:p>
        </w:tc>
        <w:tc>
          <w:tcPr>
            <w:tcW w:w="1984" w:type="dxa"/>
            <w:gridSpan w:val="4"/>
            <w:vAlign w:val="center"/>
          </w:tcPr>
          <w:p>
            <w:pPr>
              <w:jc w:val="center"/>
              <w:rPr>
                <w:sz w:val="24"/>
              </w:rPr>
            </w:pPr>
            <w:r>
              <w:rPr>
                <w:sz w:val="24"/>
              </w:rPr>
              <w:t>环保投资总概算</w:t>
            </w:r>
          </w:p>
        </w:tc>
        <w:tc>
          <w:tcPr>
            <w:tcW w:w="993" w:type="dxa"/>
            <w:gridSpan w:val="3"/>
            <w:vAlign w:val="center"/>
          </w:tcPr>
          <w:p>
            <w:pPr>
              <w:jc w:val="center"/>
              <w:rPr>
                <w:sz w:val="24"/>
              </w:rPr>
            </w:pPr>
            <w:r>
              <w:rPr>
                <w:rFonts w:hint="eastAsia"/>
                <w:sz w:val="24"/>
              </w:rPr>
              <w:t>48</w:t>
            </w:r>
            <w:r>
              <w:rPr>
                <w:sz w:val="24"/>
              </w:rPr>
              <w:t>万元</w:t>
            </w:r>
          </w:p>
        </w:tc>
        <w:tc>
          <w:tcPr>
            <w:tcW w:w="1559" w:type="dxa"/>
            <w:gridSpan w:val="3"/>
            <w:vAlign w:val="center"/>
          </w:tcPr>
          <w:p>
            <w:pPr>
              <w:jc w:val="center"/>
              <w:rPr>
                <w:sz w:val="24"/>
              </w:rPr>
            </w:pPr>
            <w:r>
              <w:rPr>
                <w:sz w:val="24"/>
              </w:rPr>
              <w:t>比例</w:t>
            </w:r>
          </w:p>
        </w:tc>
        <w:tc>
          <w:tcPr>
            <w:tcW w:w="1616" w:type="dxa"/>
            <w:gridSpan w:val="2"/>
            <w:vAlign w:val="center"/>
          </w:tcPr>
          <w:p>
            <w:pPr>
              <w:jc w:val="center"/>
              <w:rPr>
                <w:sz w:val="24"/>
              </w:rPr>
            </w:pPr>
            <w:r>
              <w:rPr>
                <w:rFonts w:hint="eastAsia"/>
                <w:sz w:val="24"/>
              </w:rPr>
              <w:t>1</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23" w:type="dxa"/>
            <w:gridSpan w:val="2"/>
            <w:vAlign w:val="center"/>
          </w:tcPr>
          <w:p>
            <w:pPr>
              <w:jc w:val="center"/>
              <w:rPr>
                <w:sz w:val="24"/>
              </w:rPr>
            </w:pPr>
            <w:r>
              <w:rPr>
                <w:sz w:val="24"/>
              </w:rPr>
              <w:t>实际总投资</w:t>
            </w:r>
          </w:p>
        </w:tc>
        <w:tc>
          <w:tcPr>
            <w:tcW w:w="1228" w:type="dxa"/>
            <w:vAlign w:val="center"/>
          </w:tcPr>
          <w:p>
            <w:pPr>
              <w:jc w:val="center"/>
              <w:rPr>
                <w:sz w:val="24"/>
              </w:rPr>
            </w:pPr>
            <w:r>
              <w:rPr>
                <w:rFonts w:hint="eastAsia"/>
                <w:sz w:val="24"/>
              </w:rPr>
              <w:t>750</w:t>
            </w:r>
            <w:r>
              <w:rPr>
                <w:sz w:val="24"/>
              </w:rPr>
              <w:t>万美元</w:t>
            </w:r>
          </w:p>
        </w:tc>
        <w:tc>
          <w:tcPr>
            <w:tcW w:w="1984" w:type="dxa"/>
            <w:gridSpan w:val="4"/>
            <w:vAlign w:val="center"/>
          </w:tcPr>
          <w:p>
            <w:pPr>
              <w:jc w:val="center"/>
              <w:rPr>
                <w:sz w:val="24"/>
              </w:rPr>
            </w:pPr>
            <w:r>
              <w:rPr>
                <w:sz w:val="24"/>
              </w:rPr>
              <w:t>实际环保投资</w:t>
            </w:r>
          </w:p>
        </w:tc>
        <w:tc>
          <w:tcPr>
            <w:tcW w:w="993" w:type="dxa"/>
            <w:gridSpan w:val="3"/>
            <w:vAlign w:val="center"/>
          </w:tcPr>
          <w:p>
            <w:pPr>
              <w:jc w:val="center"/>
              <w:rPr>
                <w:sz w:val="24"/>
              </w:rPr>
            </w:pPr>
            <w:r>
              <w:rPr>
                <w:rFonts w:hint="eastAsia"/>
                <w:sz w:val="24"/>
              </w:rPr>
              <w:t>48</w:t>
            </w:r>
            <w:r>
              <w:rPr>
                <w:sz w:val="24"/>
              </w:rPr>
              <w:t>万元</w:t>
            </w:r>
          </w:p>
        </w:tc>
        <w:tc>
          <w:tcPr>
            <w:tcW w:w="1559" w:type="dxa"/>
            <w:gridSpan w:val="3"/>
            <w:vAlign w:val="center"/>
          </w:tcPr>
          <w:p>
            <w:pPr>
              <w:jc w:val="center"/>
              <w:rPr>
                <w:sz w:val="24"/>
              </w:rPr>
            </w:pPr>
            <w:r>
              <w:rPr>
                <w:sz w:val="24"/>
              </w:rPr>
              <w:t>比例</w:t>
            </w:r>
          </w:p>
        </w:tc>
        <w:tc>
          <w:tcPr>
            <w:tcW w:w="1616" w:type="dxa"/>
            <w:gridSpan w:val="2"/>
            <w:vAlign w:val="center"/>
          </w:tcPr>
          <w:p>
            <w:pPr>
              <w:jc w:val="center"/>
              <w:rPr>
                <w:sz w:val="24"/>
              </w:rPr>
            </w:pPr>
            <w:r>
              <w:rPr>
                <w:rFonts w:hint="eastAsia"/>
                <w:sz w:val="24"/>
              </w:rPr>
              <w:t>6.4</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82" w:hRule="atLeast"/>
          <w:jc w:val="center"/>
        </w:trPr>
        <w:tc>
          <w:tcPr>
            <w:tcW w:w="682" w:type="dxa"/>
            <w:vAlign w:val="center"/>
          </w:tcPr>
          <w:p>
            <w:pPr>
              <w:jc w:val="center"/>
              <w:rPr>
                <w:sz w:val="24"/>
              </w:rPr>
            </w:pPr>
            <w:r>
              <w:rPr>
                <w:sz w:val="24"/>
              </w:rPr>
              <w:t>验</w:t>
            </w:r>
          </w:p>
          <w:p>
            <w:pPr>
              <w:jc w:val="center"/>
              <w:rPr>
                <w:sz w:val="24"/>
              </w:rPr>
            </w:pPr>
            <w:r>
              <w:rPr>
                <w:sz w:val="24"/>
              </w:rPr>
              <w:t>收</w:t>
            </w:r>
          </w:p>
          <w:p>
            <w:pPr>
              <w:jc w:val="center"/>
              <w:rPr>
                <w:sz w:val="24"/>
              </w:rPr>
            </w:pPr>
            <w:r>
              <w:rPr>
                <w:sz w:val="24"/>
              </w:rPr>
              <w:t>监</w:t>
            </w:r>
          </w:p>
          <w:p>
            <w:pPr>
              <w:jc w:val="center"/>
              <w:rPr>
                <w:sz w:val="24"/>
              </w:rPr>
            </w:pPr>
            <w:r>
              <w:rPr>
                <w:sz w:val="24"/>
              </w:rPr>
              <w:t>测</w:t>
            </w:r>
          </w:p>
          <w:p>
            <w:pPr>
              <w:jc w:val="center"/>
              <w:rPr>
                <w:sz w:val="24"/>
              </w:rPr>
            </w:pPr>
            <w:r>
              <w:rPr>
                <w:sz w:val="24"/>
              </w:rPr>
              <w:t>依</w:t>
            </w:r>
          </w:p>
          <w:p>
            <w:pPr>
              <w:jc w:val="center"/>
              <w:rPr>
                <w:sz w:val="24"/>
              </w:rPr>
            </w:pPr>
            <w:r>
              <w:rPr>
                <w:sz w:val="24"/>
              </w:rPr>
              <w:t>据</w:t>
            </w:r>
          </w:p>
        </w:tc>
        <w:tc>
          <w:tcPr>
            <w:tcW w:w="8421" w:type="dxa"/>
            <w:gridSpan w:val="14"/>
            <w:vAlign w:val="center"/>
          </w:tcPr>
          <w:p>
            <w:pPr>
              <w:spacing w:line="360" w:lineRule="auto"/>
              <w:ind w:firstLine="480" w:firstLineChars="200"/>
              <w:rPr>
                <w:bCs/>
                <w:sz w:val="24"/>
              </w:rPr>
            </w:pPr>
            <w:r>
              <w:rPr>
                <w:bCs/>
                <w:sz w:val="24"/>
              </w:rPr>
              <w:t>（1）、《建设项目环境保护管理条例》（国务院令682号，2017年7月）；</w:t>
            </w:r>
          </w:p>
          <w:p>
            <w:pPr>
              <w:spacing w:line="360" w:lineRule="auto"/>
              <w:ind w:firstLine="480" w:firstLineChars="200"/>
              <w:rPr>
                <w:bCs/>
                <w:sz w:val="24"/>
              </w:rPr>
            </w:pPr>
            <w:r>
              <w:rPr>
                <w:bCs/>
                <w:sz w:val="24"/>
              </w:rPr>
              <w:t>（2）、《关于发布&lt;建设项目竣工环境保护验收暂行办法&gt;的公告》（原环境保护部，国环规环评[2017]4号，2017年13月21日）；</w:t>
            </w:r>
          </w:p>
          <w:p>
            <w:pPr>
              <w:spacing w:line="360" w:lineRule="auto"/>
              <w:ind w:firstLine="480" w:firstLineChars="200"/>
              <w:rPr>
                <w:bCs/>
                <w:sz w:val="24"/>
              </w:rPr>
            </w:pPr>
            <w:r>
              <w:rPr>
                <w:bCs/>
                <w:sz w:val="24"/>
              </w:rPr>
              <w:t>（3）、《关于进一步优化建设项目竣工环境保护验收监测（调查）相关工作的通知》(江苏省环境保护厅，苏环规[2015]3号)；</w:t>
            </w:r>
          </w:p>
          <w:p>
            <w:pPr>
              <w:spacing w:line="360" w:lineRule="auto"/>
              <w:ind w:firstLine="480" w:firstLineChars="200"/>
              <w:rPr>
                <w:bCs/>
                <w:sz w:val="24"/>
              </w:rPr>
            </w:pPr>
            <w:r>
              <w:rPr>
                <w:bCs/>
                <w:sz w:val="24"/>
              </w:rPr>
              <w:t>（4）、《江苏省排污口设置及规范化整治管理办法》（江苏省环境保护局，苏环控（1997）122号，1997年9月）；</w:t>
            </w:r>
          </w:p>
          <w:p>
            <w:pPr>
              <w:spacing w:line="360" w:lineRule="auto"/>
              <w:ind w:firstLine="480" w:firstLineChars="200"/>
              <w:rPr>
                <w:bCs/>
                <w:sz w:val="24"/>
              </w:rPr>
            </w:pPr>
            <w:r>
              <w:rPr>
                <w:bCs/>
                <w:sz w:val="24"/>
              </w:rPr>
              <w:t>（5）、《关于加强建设项目竣工环境保护验收监测工作的通知》（江苏省环境保护厅，苏环监[2006]2号）；</w:t>
            </w:r>
          </w:p>
          <w:p>
            <w:pPr>
              <w:spacing w:line="360" w:lineRule="auto"/>
              <w:ind w:firstLine="480" w:firstLineChars="200"/>
              <w:rPr>
                <w:sz w:val="24"/>
              </w:rPr>
            </w:pPr>
            <w:r>
              <w:rPr>
                <w:bCs/>
                <w:sz w:val="24"/>
              </w:rPr>
              <w:t>（6）、</w:t>
            </w:r>
            <w:r>
              <w:rPr>
                <w:sz w:val="24"/>
              </w:rPr>
              <w:t>《关于加强建设项目重大变动环评管理的通知》（苏环办[2015]256号）；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6" w:hRule="atLeast"/>
          <w:jc w:val="center"/>
        </w:trPr>
        <w:tc>
          <w:tcPr>
            <w:tcW w:w="682" w:type="dxa"/>
            <w:vAlign w:val="center"/>
          </w:tcPr>
          <w:p>
            <w:pPr>
              <w:jc w:val="center"/>
              <w:rPr>
                <w:sz w:val="24"/>
              </w:rPr>
            </w:pPr>
            <w:r>
              <w:rPr>
                <w:sz w:val="24"/>
              </w:rPr>
              <w:t>验</w:t>
            </w:r>
          </w:p>
          <w:p>
            <w:pPr>
              <w:jc w:val="center"/>
              <w:rPr>
                <w:sz w:val="24"/>
              </w:rPr>
            </w:pPr>
            <w:r>
              <w:rPr>
                <w:sz w:val="24"/>
              </w:rPr>
              <w:t>收</w:t>
            </w:r>
          </w:p>
          <w:p>
            <w:pPr>
              <w:jc w:val="center"/>
              <w:rPr>
                <w:sz w:val="24"/>
              </w:rPr>
            </w:pPr>
            <w:r>
              <w:rPr>
                <w:sz w:val="24"/>
              </w:rPr>
              <w:t>监</w:t>
            </w:r>
          </w:p>
          <w:p>
            <w:pPr>
              <w:jc w:val="center"/>
              <w:rPr>
                <w:sz w:val="24"/>
              </w:rPr>
            </w:pPr>
            <w:r>
              <w:rPr>
                <w:sz w:val="24"/>
              </w:rPr>
              <w:t>测</w:t>
            </w:r>
          </w:p>
          <w:p>
            <w:pPr>
              <w:jc w:val="center"/>
              <w:rPr>
                <w:sz w:val="24"/>
              </w:rPr>
            </w:pPr>
            <w:r>
              <w:rPr>
                <w:sz w:val="24"/>
              </w:rPr>
              <w:t>依</w:t>
            </w:r>
          </w:p>
          <w:p>
            <w:pPr>
              <w:jc w:val="center"/>
              <w:rPr>
                <w:sz w:val="24"/>
              </w:rPr>
            </w:pPr>
            <w:r>
              <w:rPr>
                <w:sz w:val="24"/>
              </w:rPr>
              <w:t>据</w:t>
            </w:r>
          </w:p>
        </w:tc>
        <w:tc>
          <w:tcPr>
            <w:tcW w:w="8421" w:type="dxa"/>
            <w:gridSpan w:val="14"/>
          </w:tcPr>
          <w:p>
            <w:pPr>
              <w:spacing w:line="360" w:lineRule="auto"/>
              <w:ind w:firstLine="480" w:firstLineChars="200"/>
              <w:jc w:val="left"/>
              <w:rPr>
                <w:sz w:val="24"/>
              </w:rPr>
            </w:pPr>
            <w:r>
              <w:rPr>
                <w:sz w:val="24"/>
              </w:rPr>
              <w:t>（7）、《关于发布&lt;建设项目竣工环境保护验收技术指南 污染影响类&gt;的公告》（生态环境部，公告2018年第9号）；</w:t>
            </w:r>
          </w:p>
          <w:p>
            <w:pPr>
              <w:spacing w:line="360" w:lineRule="auto"/>
              <w:ind w:firstLine="480" w:firstLineChars="200"/>
              <w:jc w:val="left"/>
              <w:rPr>
                <w:sz w:val="24"/>
              </w:rPr>
            </w:pPr>
            <w:r>
              <w:rPr>
                <w:sz w:val="24"/>
              </w:rPr>
              <w:t>（8）、《关于建设项目竣工环境保护验收有关事项的通知》（苏环办[2018]34号，江苏省环境保护厅）；</w:t>
            </w:r>
          </w:p>
          <w:p>
            <w:pPr>
              <w:spacing w:line="360" w:lineRule="auto"/>
              <w:ind w:firstLine="480" w:firstLineChars="200"/>
              <w:jc w:val="left"/>
              <w:rPr>
                <w:sz w:val="24"/>
              </w:rPr>
            </w:pPr>
            <w:r>
              <w:rPr>
                <w:sz w:val="24"/>
              </w:rPr>
              <w:t>（9）、《丰臣（常州）热处理有限公司新建金属制品热处理加工项目环境影响报告表》（江苏常环环境科技有限公司，</w:t>
            </w:r>
            <w:r>
              <w:rPr>
                <w:rFonts w:hint="eastAsia"/>
                <w:sz w:val="24"/>
              </w:rPr>
              <w:t>2014年6月</w:t>
            </w:r>
            <w:r>
              <w:rPr>
                <w:sz w:val="24"/>
              </w:rPr>
              <w:t>）；</w:t>
            </w:r>
          </w:p>
          <w:p>
            <w:pPr>
              <w:spacing w:line="360" w:lineRule="auto"/>
              <w:ind w:firstLine="480" w:firstLineChars="200"/>
              <w:jc w:val="left"/>
              <w:rPr>
                <w:sz w:val="24"/>
              </w:rPr>
            </w:pPr>
            <w:r>
              <w:rPr>
                <w:sz w:val="24"/>
              </w:rPr>
              <w:t>（10）、201</w:t>
            </w:r>
            <w:r>
              <w:rPr>
                <w:rFonts w:hint="eastAsia"/>
                <w:sz w:val="24"/>
              </w:rPr>
              <w:t>4</w:t>
            </w:r>
            <w:r>
              <w:rPr>
                <w:sz w:val="24"/>
              </w:rPr>
              <w:t>年</w:t>
            </w:r>
            <w:r>
              <w:rPr>
                <w:rFonts w:hint="eastAsia"/>
                <w:sz w:val="24"/>
              </w:rPr>
              <w:t>6</w:t>
            </w:r>
            <w:r>
              <w:rPr>
                <w:sz w:val="24"/>
              </w:rPr>
              <w:t>月1</w:t>
            </w:r>
            <w:r>
              <w:rPr>
                <w:rFonts w:hint="eastAsia"/>
                <w:sz w:val="24"/>
              </w:rPr>
              <w:t>8</w:t>
            </w:r>
            <w:r>
              <w:rPr>
                <w:sz w:val="24"/>
              </w:rPr>
              <w:t>日常州国家高新区环境保护局审批的《关于对丰臣（常州）热处理有限公司建设项目环境影响报告表的审批意见》，批准文号为：</w:t>
            </w:r>
            <w:r>
              <w:rPr>
                <w:rFonts w:hint="eastAsia" w:ascii="Times New Roman" w:hAnsi="Times New Roman" w:cs="Times New Roman"/>
                <w:sz w:val="24"/>
                <w:lang w:eastAsia="zh-CN"/>
              </w:rPr>
              <w:t>常新环表</w:t>
            </w:r>
            <w:r>
              <w:rPr>
                <w:rFonts w:hint="eastAsia" w:ascii="Times New Roman" w:hAnsi="Times New Roman" w:cs="Times New Roman"/>
                <w:sz w:val="24"/>
                <w:lang w:val="en-US" w:eastAsia="zh-CN"/>
              </w:rPr>
              <w:t>[2014]75号</w:t>
            </w:r>
            <w:r>
              <w:rPr>
                <w:sz w:val="24"/>
              </w:rPr>
              <w:t>；</w:t>
            </w:r>
          </w:p>
          <w:p>
            <w:pPr>
              <w:spacing w:line="360" w:lineRule="auto"/>
              <w:ind w:firstLine="480" w:firstLineChars="200"/>
              <w:jc w:val="left"/>
              <w:rPr>
                <w:rFonts w:hint="eastAsia"/>
                <w:sz w:val="24"/>
              </w:rPr>
            </w:pPr>
            <w:r>
              <w:rPr>
                <w:sz w:val="24"/>
              </w:rPr>
              <w:t>（11）、《关于丰臣（常</w:t>
            </w:r>
            <w:bookmarkStart w:id="9" w:name="_GoBack"/>
            <w:bookmarkEnd w:id="9"/>
            <w:r>
              <w:rPr>
                <w:sz w:val="24"/>
              </w:rPr>
              <w:t>州）热处理有限公司新建金属制品热处理加工项目的情况说明</w:t>
            </w:r>
            <w:r>
              <w:rPr>
                <w:rFonts w:hint="eastAsia"/>
                <w:sz w:val="24"/>
              </w:rPr>
              <w:t>》</w:t>
            </w:r>
          </w:p>
          <w:p>
            <w:pPr>
              <w:spacing w:line="360" w:lineRule="auto"/>
              <w:ind w:firstLine="480" w:firstLineChars="200"/>
              <w:jc w:val="left"/>
              <w:rPr>
                <w:bCs/>
                <w:sz w:val="24"/>
              </w:rPr>
            </w:pPr>
            <w:r>
              <w:rPr>
                <w:rFonts w:hint="eastAsia"/>
                <w:sz w:val="24"/>
              </w:rPr>
              <w:t>（12）、</w:t>
            </w:r>
            <w:r>
              <w:rPr>
                <w:sz w:val="24"/>
              </w:rPr>
              <w:t>丰臣（常州）热处理有限公司提供的其他材料。</w:t>
            </w:r>
          </w:p>
        </w:tc>
      </w:tr>
    </w:tbl>
    <w:p>
      <w:pPr>
        <w:widowControl/>
        <w:jc w:val="left"/>
        <w:rPr>
          <w:sz w:val="24"/>
        </w:rPr>
      </w:pPr>
    </w:p>
    <w:p>
      <w:pPr>
        <w:widowControl/>
        <w:jc w:val="left"/>
        <w:rPr>
          <w:sz w:val="24"/>
        </w:rPr>
      </w:pPr>
      <w:r>
        <w:rPr>
          <w:sz w:val="24"/>
        </w:rPr>
        <w:br w:type="page"/>
      </w:r>
      <w:r>
        <w:rPr>
          <w:sz w:val="24"/>
        </w:rPr>
        <w:t>续表一</w:t>
      </w:r>
    </w:p>
    <w:tbl>
      <w:tblPr>
        <w:tblStyle w:val="18"/>
        <w:tblW w:w="9103" w:type="dxa"/>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8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065" w:hRule="atLeast"/>
        </w:trPr>
        <w:tc>
          <w:tcPr>
            <w:tcW w:w="829" w:type="dxa"/>
            <w:tcBorders>
              <w:tl2br w:val="nil"/>
              <w:tr2bl w:val="nil"/>
            </w:tcBorders>
            <w:vAlign w:val="center"/>
          </w:tcPr>
          <w:p>
            <w:pPr>
              <w:rPr>
                <w:sz w:val="24"/>
              </w:rPr>
            </w:pPr>
            <w:r>
              <w:rPr>
                <w:sz w:val="24"/>
              </w:rPr>
              <w:t>验收监测评价标准、标号、级别、限值</w:t>
            </w:r>
          </w:p>
        </w:tc>
        <w:tc>
          <w:tcPr>
            <w:tcW w:w="8274" w:type="dxa"/>
            <w:tcBorders>
              <w:tl2br w:val="nil"/>
              <w:tr2bl w:val="nil"/>
            </w:tcBorders>
          </w:tcPr>
          <w:p>
            <w:pPr>
              <w:wordWrap w:val="0"/>
              <w:adjustRightInd w:val="0"/>
              <w:snapToGrid w:val="0"/>
              <w:spacing w:line="480" w:lineRule="exact"/>
              <w:ind w:firstLine="482" w:firstLineChars="200"/>
              <w:rPr>
                <w:sz w:val="24"/>
              </w:rPr>
            </w:pPr>
            <w:r>
              <w:rPr>
                <w:b/>
                <w:bCs/>
                <w:sz w:val="24"/>
              </w:rPr>
              <w:t>1、废气：</w:t>
            </w:r>
            <w:r>
              <w:rPr>
                <w:sz w:val="24"/>
              </w:rPr>
              <w:t>本项目</w:t>
            </w:r>
            <w:r>
              <w:rPr>
                <w:rFonts w:hint="eastAsia"/>
                <w:sz w:val="24"/>
              </w:rPr>
              <w:t>脱脂</w:t>
            </w:r>
            <w:r>
              <w:rPr>
                <w:sz w:val="24"/>
              </w:rPr>
              <w:t>清洗工序</w:t>
            </w:r>
            <w:r>
              <w:rPr>
                <w:rFonts w:hint="eastAsia"/>
                <w:sz w:val="24"/>
              </w:rPr>
              <w:t>、</w:t>
            </w:r>
            <w:r>
              <w:rPr>
                <w:sz w:val="24"/>
              </w:rPr>
              <w:t>淬火工序</w:t>
            </w:r>
            <w:r>
              <w:rPr>
                <w:rFonts w:hint="eastAsia"/>
                <w:sz w:val="24"/>
              </w:rPr>
              <w:t>、回火工序、消磁退火工序</w:t>
            </w:r>
            <w:r>
              <w:rPr>
                <w:sz w:val="24"/>
              </w:rPr>
              <w:t>产生的非甲烷总烃执行《大气污染物综合排放标准》（GB16297-1996）表2二级标准及无组织排放限值。</w:t>
            </w:r>
          </w:p>
          <w:tbl>
            <w:tblPr>
              <w:tblStyle w:val="18"/>
              <w:tblW w:w="8058"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800"/>
              <w:gridCol w:w="1593"/>
              <w:gridCol w:w="1457"/>
              <w:gridCol w:w="940"/>
              <w:gridCol w:w="1197"/>
              <w:gridCol w:w="207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cantSplit/>
                <w:trHeight w:val="832" w:hRule="atLeast"/>
                <w:jc w:val="center"/>
              </w:trPr>
              <w:tc>
                <w:tcPr>
                  <w:tcW w:w="800" w:type="dxa"/>
                  <w:tcBorders>
                    <w:tl2br w:val="nil"/>
                    <w:tr2bl w:val="nil"/>
                  </w:tcBorders>
                  <w:vAlign w:val="center"/>
                </w:tcPr>
                <w:p>
                  <w:pPr>
                    <w:wordWrap w:val="0"/>
                    <w:jc w:val="center"/>
                    <w:rPr>
                      <w:b/>
                      <w:szCs w:val="21"/>
                    </w:rPr>
                  </w:pPr>
                  <w:r>
                    <w:rPr>
                      <w:b/>
                      <w:szCs w:val="21"/>
                    </w:rPr>
                    <w:t>污染物名称</w:t>
                  </w:r>
                </w:p>
              </w:tc>
              <w:tc>
                <w:tcPr>
                  <w:tcW w:w="1593" w:type="dxa"/>
                  <w:tcBorders>
                    <w:tl2br w:val="nil"/>
                    <w:tr2bl w:val="nil"/>
                  </w:tcBorders>
                  <w:vAlign w:val="center"/>
                </w:tcPr>
                <w:p>
                  <w:pPr>
                    <w:wordWrap w:val="0"/>
                    <w:jc w:val="center"/>
                    <w:rPr>
                      <w:b/>
                      <w:szCs w:val="21"/>
                    </w:rPr>
                  </w:pPr>
                  <w:r>
                    <w:rPr>
                      <w:b/>
                      <w:szCs w:val="21"/>
                    </w:rPr>
                    <w:t>最高允许排放浓度(mg/m</w:t>
                  </w:r>
                  <w:r>
                    <w:rPr>
                      <w:b/>
                      <w:szCs w:val="21"/>
                      <w:vertAlign w:val="superscript"/>
                    </w:rPr>
                    <w:t>3</w:t>
                  </w:r>
                  <w:r>
                    <w:rPr>
                      <w:b/>
                      <w:szCs w:val="21"/>
                    </w:rPr>
                    <w:t>)</w:t>
                  </w:r>
                </w:p>
              </w:tc>
              <w:tc>
                <w:tcPr>
                  <w:tcW w:w="1457" w:type="dxa"/>
                  <w:tcBorders>
                    <w:tl2br w:val="nil"/>
                    <w:tr2bl w:val="nil"/>
                  </w:tcBorders>
                  <w:vAlign w:val="center"/>
                </w:tcPr>
                <w:p>
                  <w:pPr>
                    <w:wordWrap w:val="0"/>
                    <w:jc w:val="center"/>
                    <w:rPr>
                      <w:b/>
                      <w:szCs w:val="21"/>
                    </w:rPr>
                  </w:pPr>
                  <w:r>
                    <w:rPr>
                      <w:b/>
                      <w:szCs w:val="21"/>
                    </w:rPr>
                    <w:t>最高允许排放速率（kg/h）</w:t>
                  </w:r>
                </w:p>
              </w:tc>
              <w:tc>
                <w:tcPr>
                  <w:tcW w:w="940" w:type="dxa"/>
                  <w:tcBorders>
                    <w:tl2br w:val="nil"/>
                    <w:tr2bl w:val="nil"/>
                  </w:tcBorders>
                  <w:vAlign w:val="center"/>
                </w:tcPr>
                <w:p>
                  <w:pPr>
                    <w:wordWrap w:val="0"/>
                    <w:jc w:val="center"/>
                    <w:rPr>
                      <w:b/>
                      <w:szCs w:val="21"/>
                    </w:rPr>
                  </w:pPr>
                  <w:r>
                    <w:rPr>
                      <w:b/>
                      <w:szCs w:val="21"/>
                    </w:rPr>
                    <w:t>排气筒高度（m）</w:t>
                  </w:r>
                </w:p>
              </w:tc>
              <w:tc>
                <w:tcPr>
                  <w:tcW w:w="1197" w:type="dxa"/>
                  <w:tcBorders>
                    <w:tl2br w:val="nil"/>
                    <w:tr2bl w:val="nil"/>
                  </w:tcBorders>
                  <w:vAlign w:val="center"/>
                </w:tcPr>
                <w:p>
                  <w:pPr>
                    <w:wordWrap w:val="0"/>
                    <w:jc w:val="center"/>
                    <w:rPr>
                      <w:b/>
                      <w:szCs w:val="21"/>
                    </w:rPr>
                  </w:pPr>
                  <w:r>
                    <w:rPr>
                      <w:b/>
                      <w:szCs w:val="21"/>
                    </w:rPr>
                    <w:t>无组织排放监控浓度限值 (mg/m</w:t>
                  </w:r>
                  <w:r>
                    <w:rPr>
                      <w:b/>
                      <w:szCs w:val="21"/>
                      <w:vertAlign w:val="superscript"/>
                    </w:rPr>
                    <w:t>3</w:t>
                  </w:r>
                  <w:r>
                    <w:rPr>
                      <w:b/>
                      <w:szCs w:val="21"/>
                    </w:rPr>
                    <w:t>)</w:t>
                  </w:r>
                </w:p>
              </w:tc>
              <w:tc>
                <w:tcPr>
                  <w:tcW w:w="2071" w:type="dxa"/>
                  <w:tcBorders>
                    <w:tl2br w:val="nil"/>
                    <w:tr2bl w:val="nil"/>
                  </w:tcBorders>
                  <w:vAlign w:val="center"/>
                </w:tcPr>
                <w:p>
                  <w:pPr>
                    <w:wordWrap w:val="0"/>
                    <w:jc w:val="center"/>
                    <w:rPr>
                      <w:b/>
                      <w:szCs w:val="21"/>
                    </w:rPr>
                  </w:pPr>
                  <w:r>
                    <w:rPr>
                      <w:b/>
                      <w:szCs w:val="21"/>
                    </w:rPr>
                    <w:t>标准来源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cantSplit/>
                <w:trHeight w:val="510" w:hRule="atLeast"/>
                <w:jc w:val="center"/>
              </w:trPr>
              <w:tc>
                <w:tcPr>
                  <w:tcW w:w="800" w:type="dxa"/>
                  <w:tcBorders>
                    <w:tl2br w:val="nil"/>
                    <w:tr2bl w:val="nil"/>
                  </w:tcBorders>
                  <w:vAlign w:val="center"/>
                </w:tcPr>
                <w:p>
                  <w:pPr>
                    <w:wordWrap w:val="0"/>
                    <w:jc w:val="center"/>
                    <w:rPr>
                      <w:szCs w:val="21"/>
                    </w:rPr>
                  </w:pPr>
                  <w:r>
                    <w:rPr>
                      <w:szCs w:val="21"/>
                    </w:rPr>
                    <w:t>非甲烷总烃</w:t>
                  </w:r>
                </w:p>
              </w:tc>
              <w:tc>
                <w:tcPr>
                  <w:tcW w:w="1593" w:type="dxa"/>
                  <w:tcBorders>
                    <w:tl2br w:val="nil"/>
                    <w:tr2bl w:val="nil"/>
                  </w:tcBorders>
                  <w:vAlign w:val="center"/>
                </w:tcPr>
                <w:p>
                  <w:pPr>
                    <w:wordWrap w:val="0"/>
                    <w:jc w:val="center"/>
                    <w:rPr>
                      <w:szCs w:val="21"/>
                    </w:rPr>
                  </w:pPr>
                  <w:r>
                    <w:rPr>
                      <w:szCs w:val="21"/>
                    </w:rPr>
                    <w:t>120</w:t>
                  </w:r>
                </w:p>
              </w:tc>
              <w:tc>
                <w:tcPr>
                  <w:tcW w:w="1457" w:type="dxa"/>
                  <w:tcBorders>
                    <w:tl2br w:val="nil"/>
                    <w:tr2bl w:val="nil"/>
                  </w:tcBorders>
                  <w:vAlign w:val="center"/>
                </w:tcPr>
                <w:p>
                  <w:pPr>
                    <w:wordWrap w:val="0"/>
                    <w:jc w:val="center"/>
                    <w:rPr>
                      <w:szCs w:val="21"/>
                    </w:rPr>
                  </w:pPr>
                  <w:r>
                    <w:rPr>
                      <w:szCs w:val="21"/>
                    </w:rPr>
                    <w:t>10</w:t>
                  </w:r>
                </w:p>
              </w:tc>
              <w:tc>
                <w:tcPr>
                  <w:tcW w:w="940" w:type="dxa"/>
                  <w:tcBorders>
                    <w:tl2br w:val="nil"/>
                    <w:tr2bl w:val="nil"/>
                  </w:tcBorders>
                  <w:vAlign w:val="center"/>
                </w:tcPr>
                <w:p>
                  <w:pPr>
                    <w:wordWrap w:val="0"/>
                    <w:jc w:val="center"/>
                    <w:rPr>
                      <w:szCs w:val="21"/>
                    </w:rPr>
                  </w:pPr>
                  <w:r>
                    <w:rPr>
                      <w:szCs w:val="21"/>
                    </w:rPr>
                    <w:t>15</w:t>
                  </w:r>
                </w:p>
              </w:tc>
              <w:tc>
                <w:tcPr>
                  <w:tcW w:w="1197" w:type="dxa"/>
                  <w:tcBorders>
                    <w:tl2br w:val="nil"/>
                    <w:tr2bl w:val="nil"/>
                  </w:tcBorders>
                  <w:vAlign w:val="center"/>
                </w:tcPr>
                <w:p>
                  <w:pPr>
                    <w:wordWrap w:val="0"/>
                    <w:jc w:val="center"/>
                    <w:rPr>
                      <w:szCs w:val="21"/>
                    </w:rPr>
                  </w:pPr>
                  <w:r>
                    <w:rPr>
                      <w:szCs w:val="21"/>
                    </w:rPr>
                    <w:t>4.0</w:t>
                  </w:r>
                </w:p>
              </w:tc>
              <w:tc>
                <w:tcPr>
                  <w:tcW w:w="2071" w:type="dxa"/>
                  <w:tcBorders>
                    <w:tl2br w:val="nil"/>
                    <w:tr2bl w:val="nil"/>
                  </w:tcBorders>
                  <w:vAlign w:val="center"/>
                </w:tcPr>
                <w:p>
                  <w:pPr>
                    <w:wordWrap w:val="0"/>
                    <w:jc w:val="center"/>
                    <w:rPr>
                      <w:szCs w:val="21"/>
                    </w:rPr>
                  </w:pPr>
                  <w:r>
                    <w:rPr>
                      <w:szCs w:val="21"/>
                    </w:rPr>
                    <w:t>《大气污染物综合排放标准》（GB16297-1996）</w:t>
                  </w:r>
                </w:p>
              </w:tc>
            </w:tr>
          </w:tbl>
          <w:p>
            <w:pPr>
              <w:numPr>
                <w:ilvl w:val="0"/>
                <w:numId w:val="1"/>
              </w:numPr>
              <w:spacing w:line="360" w:lineRule="auto"/>
              <w:ind w:firstLine="482" w:firstLineChars="200"/>
              <w:rPr>
                <w:sz w:val="24"/>
              </w:rPr>
            </w:pPr>
            <w:r>
              <w:rPr>
                <w:b/>
                <w:sz w:val="24"/>
              </w:rPr>
              <w:t>废水：</w:t>
            </w:r>
            <w:r>
              <w:rPr>
                <w:sz w:val="24"/>
              </w:rPr>
              <w:t>本项目污水总排口中pH值、化学需氧量、悬浮物</w:t>
            </w:r>
            <w:r>
              <w:rPr>
                <w:rFonts w:hint="eastAsia"/>
                <w:sz w:val="24"/>
              </w:rPr>
              <w:t>、</w:t>
            </w:r>
            <w:r>
              <w:rPr>
                <w:sz w:val="24"/>
              </w:rPr>
              <w:t>氨氮、总磷、</w:t>
            </w:r>
            <w:r>
              <w:rPr>
                <w:rFonts w:hint="eastAsia"/>
                <w:sz w:val="24"/>
              </w:rPr>
              <w:t>石油类、</w:t>
            </w:r>
            <w:r>
              <w:rPr>
                <w:sz w:val="24"/>
              </w:rPr>
              <w:t>动植物油类接管标准执行《污水排入城镇下水道水质标准》（GB/T31962-2015）表1 B等级标准。</w:t>
            </w:r>
          </w:p>
          <w:tbl>
            <w:tblPr>
              <w:tblStyle w:val="18"/>
              <w:tblW w:w="80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34"/>
              <w:gridCol w:w="2754"/>
              <w:gridCol w:w="3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12" w:space="0"/>
                    <w:bottom w:val="single" w:color="auto" w:sz="4" w:space="0"/>
                  </w:tcBorders>
                  <w:vAlign w:val="center"/>
                </w:tcPr>
                <w:p>
                  <w:pPr>
                    <w:jc w:val="center"/>
                    <w:rPr>
                      <w:b/>
                      <w:bCs/>
                      <w:szCs w:val="21"/>
                    </w:rPr>
                  </w:pPr>
                  <w:r>
                    <w:rPr>
                      <w:b/>
                      <w:bCs/>
                      <w:szCs w:val="21"/>
                    </w:rPr>
                    <w:t>污染物</w:t>
                  </w:r>
                </w:p>
              </w:tc>
              <w:tc>
                <w:tcPr>
                  <w:tcW w:w="2754" w:type="dxa"/>
                  <w:tcBorders>
                    <w:top w:val="single" w:color="auto" w:sz="12" w:space="0"/>
                    <w:bottom w:val="single" w:color="auto" w:sz="4" w:space="0"/>
                  </w:tcBorders>
                  <w:vAlign w:val="center"/>
                </w:tcPr>
                <w:p>
                  <w:pPr>
                    <w:jc w:val="center"/>
                    <w:rPr>
                      <w:b/>
                      <w:bCs/>
                      <w:szCs w:val="21"/>
                    </w:rPr>
                  </w:pPr>
                  <w:r>
                    <w:rPr>
                      <w:b/>
                      <w:bCs/>
                      <w:szCs w:val="21"/>
                    </w:rPr>
                    <w:t>污水排放标准</w:t>
                  </w:r>
                </w:p>
                <w:p>
                  <w:pPr>
                    <w:jc w:val="center"/>
                    <w:rPr>
                      <w:b/>
                      <w:bCs/>
                      <w:szCs w:val="21"/>
                    </w:rPr>
                  </w:pPr>
                  <w:r>
                    <w:rPr>
                      <w:b/>
                      <w:bCs/>
                      <w:szCs w:val="21"/>
                    </w:rPr>
                    <w:t>（除pH外，单位mg/L）</w:t>
                  </w:r>
                </w:p>
              </w:tc>
              <w:tc>
                <w:tcPr>
                  <w:tcW w:w="3470" w:type="dxa"/>
                  <w:tcBorders>
                    <w:top w:val="single" w:color="auto" w:sz="12" w:space="0"/>
                    <w:bottom w:val="single" w:color="auto" w:sz="4" w:space="0"/>
                  </w:tcBorders>
                  <w:vAlign w:val="center"/>
                </w:tcPr>
                <w:p>
                  <w:pPr>
                    <w:jc w:val="center"/>
                    <w:rPr>
                      <w:b/>
                      <w:bCs/>
                      <w:szCs w:val="21"/>
                    </w:rPr>
                  </w:pPr>
                  <w:r>
                    <w:rPr>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tcBorders>
                  <w:vAlign w:val="center"/>
                </w:tcPr>
                <w:p>
                  <w:pPr>
                    <w:adjustRightInd w:val="0"/>
                    <w:snapToGrid w:val="0"/>
                    <w:spacing w:line="240" w:lineRule="exact"/>
                    <w:jc w:val="center"/>
                    <w:rPr>
                      <w:kern w:val="24"/>
                      <w:szCs w:val="21"/>
                    </w:rPr>
                  </w:pPr>
                  <w:r>
                    <w:rPr>
                      <w:szCs w:val="21"/>
                    </w:rPr>
                    <w:t>pH值</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rFonts w:hint="eastAsia"/>
                      <w:szCs w:val="21"/>
                    </w:rPr>
                    <w:t>6.5~9.5</w:t>
                  </w:r>
                </w:p>
              </w:tc>
              <w:tc>
                <w:tcPr>
                  <w:tcW w:w="3470" w:type="dxa"/>
                  <w:vMerge w:val="restart"/>
                  <w:tcBorders>
                    <w:top w:val="single" w:color="auto" w:sz="4" w:space="0"/>
                  </w:tcBorders>
                  <w:vAlign w:val="center"/>
                </w:tcPr>
                <w:p>
                  <w:pPr>
                    <w:adjustRightInd w:val="0"/>
                    <w:snapToGrid w:val="0"/>
                    <w:spacing w:line="240" w:lineRule="exact"/>
                    <w:jc w:val="center"/>
                    <w:rPr>
                      <w:szCs w:val="21"/>
                    </w:rPr>
                  </w:pPr>
                  <w:r>
                    <w:rPr>
                      <w:szCs w:val="21"/>
                    </w:rPr>
                    <w:t>《污水排入城镇下水道水质标准》（</w:t>
                  </w:r>
                  <w:r>
                    <w:rPr>
                      <w:bCs/>
                      <w:szCs w:val="21"/>
                    </w:rPr>
                    <w:t>GB/T31962-2015</w:t>
                  </w:r>
                  <w:r>
                    <w:rPr>
                      <w:szCs w:val="21"/>
                    </w:rPr>
                    <w:t>）表1 B等级标准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tcBorders>
                  <w:vAlign w:val="center"/>
                </w:tcPr>
                <w:p>
                  <w:pPr>
                    <w:adjustRightInd w:val="0"/>
                    <w:snapToGrid w:val="0"/>
                    <w:spacing w:line="240" w:lineRule="exact"/>
                    <w:jc w:val="center"/>
                    <w:rPr>
                      <w:kern w:val="24"/>
                      <w:szCs w:val="21"/>
                    </w:rPr>
                  </w:pPr>
                  <w:r>
                    <w:rPr>
                      <w:szCs w:val="21"/>
                    </w:rPr>
                    <w:t>化学需氧量</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500</w:t>
                  </w:r>
                </w:p>
              </w:tc>
              <w:tc>
                <w:tcPr>
                  <w:tcW w:w="3470" w:type="dxa"/>
                  <w:vMerge w:val="continue"/>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bottom w:val="single" w:color="auto" w:sz="4" w:space="0"/>
                  </w:tcBorders>
                  <w:vAlign w:val="center"/>
                </w:tcPr>
                <w:p>
                  <w:pPr>
                    <w:adjustRightInd w:val="0"/>
                    <w:snapToGrid w:val="0"/>
                    <w:spacing w:line="240" w:lineRule="exact"/>
                    <w:jc w:val="center"/>
                    <w:rPr>
                      <w:kern w:val="24"/>
                      <w:szCs w:val="21"/>
                    </w:rPr>
                  </w:pPr>
                  <w:r>
                    <w:rPr>
                      <w:szCs w:val="21"/>
                    </w:rPr>
                    <w:t>悬浮物</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400</w:t>
                  </w:r>
                </w:p>
              </w:tc>
              <w:tc>
                <w:tcPr>
                  <w:tcW w:w="3470" w:type="dxa"/>
                  <w:vMerge w:val="continue"/>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氨氮</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45</w:t>
                  </w:r>
                </w:p>
              </w:tc>
              <w:tc>
                <w:tcPr>
                  <w:tcW w:w="3470" w:type="dxa"/>
                  <w:vMerge w:val="continue"/>
                  <w:vAlign w:val="center"/>
                </w:tcPr>
                <w:p>
                  <w:pPr>
                    <w:adjustRightInd w:val="0"/>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bottom w:val="single" w:color="auto" w:sz="4" w:space="0"/>
                  </w:tcBorders>
                  <w:vAlign w:val="center"/>
                </w:tcPr>
                <w:p>
                  <w:pPr>
                    <w:adjustRightInd w:val="0"/>
                    <w:snapToGrid w:val="0"/>
                    <w:spacing w:line="240" w:lineRule="exact"/>
                    <w:jc w:val="center"/>
                    <w:rPr>
                      <w:szCs w:val="21"/>
                    </w:rPr>
                  </w:pPr>
                  <w:r>
                    <w:rPr>
                      <w:bCs/>
                      <w:szCs w:val="21"/>
                    </w:rPr>
                    <w:t>总磷</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8</w:t>
                  </w:r>
                </w:p>
              </w:tc>
              <w:tc>
                <w:tcPr>
                  <w:tcW w:w="3470"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石油类</w:t>
                  </w:r>
                </w:p>
              </w:tc>
              <w:tc>
                <w:tcPr>
                  <w:tcW w:w="2754" w:type="dxa"/>
                  <w:tcBorders>
                    <w:top w:val="single" w:color="auto" w:sz="4" w:space="0"/>
                    <w:bottom w:val="single" w:color="auto" w:sz="4" w:space="0"/>
                  </w:tcBorders>
                  <w:vAlign w:val="center"/>
                </w:tcPr>
                <w:p>
                  <w:pPr>
                    <w:adjustRightInd w:val="0"/>
                    <w:snapToGrid w:val="0"/>
                    <w:spacing w:line="240" w:lineRule="exact"/>
                    <w:jc w:val="center"/>
                    <w:rPr>
                      <w:szCs w:val="21"/>
                    </w:rPr>
                  </w:pPr>
                  <w:r>
                    <w:rPr>
                      <w:rFonts w:hint="eastAsia"/>
                      <w:szCs w:val="21"/>
                    </w:rPr>
                    <w:t>15</w:t>
                  </w:r>
                </w:p>
              </w:tc>
              <w:tc>
                <w:tcPr>
                  <w:tcW w:w="3470"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834" w:type="dxa"/>
                  <w:tcBorders>
                    <w:top w:val="single" w:color="auto" w:sz="4" w:space="0"/>
                    <w:bottom w:val="single" w:color="auto" w:sz="12" w:space="0"/>
                  </w:tcBorders>
                  <w:vAlign w:val="center"/>
                </w:tcPr>
                <w:p>
                  <w:pPr>
                    <w:adjustRightInd w:val="0"/>
                    <w:snapToGrid w:val="0"/>
                    <w:spacing w:line="240" w:lineRule="exact"/>
                    <w:jc w:val="center"/>
                    <w:rPr>
                      <w:bCs/>
                      <w:szCs w:val="21"/>
                    </w:rPr>
                  </w:pPr>
                  <w:r>
                    <w:rPr>
                      <w:bCs/>
                      <w:szCs w:val="21"/>
                    </w:rPr>
                    <w:t>动植物油</w:t>
                  </w:r>
                </w:p>
              </w:tc>
              <w:tc>
                <w:tcPr>
                  <w:tcW w:w="2754" w:type="dxa"/>
                  <w:tcBorders>
                    <w:top w:val="single" w:color="auto" w:sz="4" w:space="0"/>
                    <w:bottom w:val="single" w:color="auto" w:sz="12" w:space="0"/>
                  </w:tcBorders>
                  <w:vAlign w:val="center"/>
                </w:tcPr>
                <w:p>
                  <w:pPr>
                    <w:adjustRightInd w:val="0"/>
                    <w:snapToGrid w:val="0"/>
                    <w:spacing w:line="240" w:lineRule="exact"/>
                    <w:jc w:val="center"/>
                    <w:rPr>
                      <w:szCs w:val="21"/>
                    </w:rPr>
                  </w:pPr>
                  <w:r>
                    <w:rPr>
                      <w:rFonts w:hint="eastAsia"/>
                      <w:szCs w:val="21"/>
                    </w:rPr>
                    <w:t>100</w:t>
                  </w:r>
                </w:p>
              </w:tc>
              <w:tc>
                <w:tcPr>
                  <w:tcW w:w="3470" w:type="dxa"/>
                  <w:vMerge w:val="continue"/>
                  <w:vAlign w:val="center"/>
                </w:tcPr>
                <w:p>
                  <w:pPr>
                    <w:jc w:val="center"/>
                    <w:rPr>
                      <w:szCs w:val="21"/>
                    </w:rPr>
                  </w:pPr>
                </w:p>
              </w:tc>
            </w:tr>
          </w:tbl>
          <w:p>
            <w:pPr>
              <w:adjustRightInd w:val="0"/>
              <w:snapToGrid w:val="0"/>
              <w:spacing w:line="480" w:lineRule="exact"/>
              <w:ind w:firstLine="482" w:firstLineChars="200"/>
              <w:rPr>
                <w:sz w:val="24"/>
              </w:rPr>
            </w:pPr>
            <w:r>
              <w:rPr>
                <w:b/>
                <w:sz w:val="24"/>
              </w:rPr>
              <w:t>3、</w:t>
            </w:r>
            <w:r>
              <w:rPr>
                <w:b/>
                <w:bCs/>
                <w:sz w:val="24"/>
              </w:rPr>
              <w:t>噪声：</w:t>
            </w:r>
            <w:r>
              <w:rPr>
                <w:sz w:val="24"/>
              </w:rPr>
              <w:t>本期项目厂界噪声执行《工业企业厂界环境噪声排放标准》（GB12348-2008）</w:t>
            </w:r>
            <w:r>
              <w:rPr>
                <w:rFonts w:hint="eastAsia"/>
                <w:sz w:val="24"/>
              </w:rPr>
              <w:t>3</w:t>
            </w:r>
            <w:r>
              <w:rPr>
                <w:sz w:val="24"/>
              </w:rPr>
              <w:t>类标准，即昼间≤</w:t>
            </w:r>
            <w:r>
              <w:rPr>
                <w:rFonts w:hint="eastAsia"/>
                <w:sz w:val="24"/>
              </w:rPr>
              <w:t>65</w:t>
            </w:r>
            <w:r>
              <w:rPr>
                <w:sz w:val="24"/>
              </w:rPr>
              <w:t>dB（A）、夜间≤55dB（A）。</w:t>
            </w:r>
          </w:p>
          <w:p>
            <w:pPr>
              <w:tabs>
                <w:tab w:val="left" w:pos="0"/>
              </w:tabs>
              <w:spacing w:line="360" w:lineRule="auto"/>
              <w:ind w:firstLine="482" w:firstLineChars="200"/>
              <w:rPr>
                <w:sz w:val="24"/>
              </w:rPr>
            </w:pPr>
            <w:r>
              <w:rPr>
                <w:b/>
                <w:bCs/>
                <w:sz w:val="24"/>
              </w:rPr>
              <w:t>4、固废：</w:t>
            </w:r>
            <w:r>
              <w:rPr>
                <w:sz w:val="24"/>
              </w:rPr>
              <w:t>一般工业固废执行《一般工业固体废物贮存、处置场污染控制标准》（GB18599-2001）及2013年修改单。危险废物执行《危险废物收集、贮存、运输技术规范》（HJ2025-2012）及2013年修改单。</w:t>
            </w:r>
          </w:p>
          <w:p>
            <w:pPr>
              <w:tabs>
                <w:tab w:val="left" w:pos="0"/>
              </w:tabs>
              <w:spacing w:line="360" w:lineRule="auto"/>
              <w:ind w:firstLine="482" w:firstLineChars="200"/>
              <w:rPr>
                <w:b/>
                <w:sz w:val="24"/>
                <w:szCs w:val="21"/>
              </w:rPr>
            </w:pPr>
            <w:r>
              <w:rPr>
                <w:b/>
                <w:sz w:val="24"/>
                <w:szCs w:val="21"/>
              </w:rPr>
              <w:t>5、总量控制：</w:t>
            </w:r>
          </w:p>
          <w:tbl>
            <w:tblPr>
              <w:tblStyle w:val="18"/>
              <w:tblW w:w="80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106"/>
              <w:gridCol w:w="2464"/>
              <w:gridCol w:w="20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7" w:type="dxa"/>
                  <w:tcBorders>
                    <w:tl2br w:val="nil"/>
                    <w:tr2bl w:val="nil"/>
                  </w:tcBorders>
                  <w:vAlign w:val="center"/>
                </w:tcPr>
                <w:p>
                  <w:pPr>
                    <w:tabs>
                      <w:tab w:val="left" w:pos="0"/>
                    </w:tabs>
                    <w:jc w:val="center"/>
                    <w:rPr>
                      <w:b/>
                      <w:bCs/>
                      <w:szCs w:val="21"/>
                    </w:rPr>
                  </w:pPr>
                  <w:r>
                    <w:rPr>
                      <w:b/>
                      <w:bCs/>
                      <w:szCs w:val="21"/>
                    </w:rPr>
                    <w:t>污染源</w:t>
                  </w:r>
                </w:p>
              </w:tc>
              <w:tc>
                <w:tcPr>
                  <w:tcW w:w="2106" w:type="dxa"/>
                  <w:tcBorders>
                    <w:tl2br w:val="nil"/>
                    <w:tr2bl w:val="nil"/>
                  </w:tcBorders>
                  <w:vAlign w:val="center"/>
                </w:tcPr>
                <w:p>
                  <w:pPr>
                    <w:tabs>
                      <w:tab w:val="left" w:pos="0"/>
                    </w:tabs>
                    <w:jc w:val="center"/>
                    <w:rPr>
                      <w:b/>
                      <w:bCs/>
                      <w:szCs w:val="21"/>
                    </w:rPr>
                  </w:pPr>
                  <w:r>
                    <w:rPr>
                      <w:b/>
                      <w:bCs/>
                      <w:szCs w:val="21"/>
                    </w:rPr>
                    <w:t>污染物</w:t>
                  </w:r>
                </w:p>
              </w:tc>
              <w:tc>
                <w:tcPr>
                  <w:tcW w:w="2464" w:type="dxa"/>
                  <w:tcBorders>
                    <w:tl2br w:val="nil"/>
                    <w:tr2bl w:val="nil"/>
                  </w:tcBorders>
                  <w:vAlign w:val="center"/>
                </w:tcPr>
                <w:p>
                  <w:pPr>
                    <w:tabs>
                      <w:tab w:val="left" w:pos="0"/>
                    </w:tabs>
                    <w:jc w:val="center"/>
                    <w:rPr>
                      <w:b/>
                      <w:bCs/>
                      <w:szCs w:val="21"/>
                    </w:rPr>
                  </w:pPr>
                  <w:r>
                    <w:rPr>
                      <w:b/>
                      <w:bCs/>
                      <w:szCs w:val="21"/>
                    </w:rPr>
                    <w:t>环评/批复量（吨/年）</w:t>
                  </w:r>
                </w:p>
              </w:tc>
              <w:tc>
                <w:tcPr>
                  <w:tcW w:w="2071" w:type="dxa"/>
                  <w:tcBorders>
                    <w:tl2br w:val="nil"/>
                    <w:tr2bl w:val="nil"/>
                  </w:tcBorders>
                  <w:vAlign w:val="center"/>
                </w:tcPr>
                <w:p>
                  <w:pPr>
                    <w:tabs>
                      <w:tab w:val="left" w:pos="0"/>
                    </w:tabs>
                    <w:jc w:val="center"/>
                    <w:rPr>
                      <w:b/>
                      <w:bCs/>
                      <w:szCs w:val="21"/>
                    </w:rPr>
                  </w:pPr>
                  <w:r>
                    <w:rPr>
                      <w:rFonts w:hint="eastAsia"/>
                      <w:b/>
                      <w:bCs/>
                      <w:szCs w:val="21"/>
                    </w:rPr>
                    <w:t>一阶段总量（吨/年）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jc w:val="center"/>
              </w:trPr>
              <w:tc>
                <w:tcPr>
                  <w:tcW w:w="1417" w:type="dxa"/>
                  <w:vMerge w:val="restart"/>
                  <w:tcBorders>
                    <w:tl2br w:val="nil"/>
                    <w:tr2bl w:val="nil"/>
                  </w:tcBorders>
                  <w:vAlign w:val="center"/>
                </w:tcPr>
                <w:p>
                  <w:pPr>
                    <w:tabs>
                      <w:tab w:val="left" w:pos="0"/>
                    </w:tabs>
                    <w:jc w:val="center"/>
                    <w:rPr>
                      <w:szCs w:val="21"/>
                    </w:rPr>
                  </w:pPr>
                  <w:r>
                    <w:rPr>
                      <w:szCs w:val="21"/>
                    </w:rPr>
                    <w:t>废水</w:t>
                  </w:r>
                </w:p>
              </w:tc>
              <w:tc>
                <w:tcPr>
                  <w:tcW w:w="2106" w:type="dxa"/>
                  <w:tcBorders>
                    <w:tl2br w:val="nil"/>
                    <w:tr2bl w:val="nil"/>
                  </w:tcBorders>
                  <w:vAlign w:val="center"/>
                </w:tcPr>
                <w:p>
                  <w:pPr>
                    <w:adjustRightInd w:val="0"/>
                    <w:snapToGrid w:val="0"/>
                    <w:spacing w:line="240" w:lineRule="exact"/>
                    <w:jc w:val="center"/>
                    <w:rPr>
                      <w:kern w:val="24"/>
                      <w:szCs w:val="21"/>
                    </w:rPr>
                  </w:pPr>
                  <w:r>
                    <w:rPr>
                      <w:szCs w:val="21"/>
                    </w:rPr>
                    <w:t>化学需氧量</w:t>
                  </w:r>
                </w:p>
              </w:tc>
              <w:tc>
                <w:tcPr>
                  <w:tcW w:w="2464" w:type="dxa"/>
                  <w:tcBorders>
                    <w:tl2br w:val="nil"/>
                    <w:tr2bl w:val="nil"/>
                  </w:tcBorders>
                  <w:vAlign w:val="center"/>
                </w:tcPr>
                <w:p>
                  <w:pPr>
                    <w:tabs>
                      <w:tab w:val="left" w:pos="0"/>
                    </w:tabs>
                    <w:jc w:val="center"/>
                    <w:rPr>
                      <w:szCs w:val="21"/>
                    </w:rPr>
                  </w:pPr>
                  <w:r>
                    <w:rPr>
                      <w:rFonts w:hint="eastAsia"/>
                      <w:szCs w:val="21"/>
                    </w:rPr>
                    <w:t>0.1703</w:t>
                  </w:r>
                </w:p>
              </w:tc>
              <w:tc>
                <w:tcPr>
                  <w:tcW w:w="2071" w:type="dxa"/>
                  <w:tcBorders>
                    <w:tl2br w:val="nil"/>
                    <w:tr2bl w:val="nil"/>
                  </w:tcBorders>
                  <w:vAlign w:val="center"/>
                </w:tcPr>
                <w:p>
                  <w:pPr>
                    <w:tabs>
                      <w:tab w:val="left" w:pos="0"/>
                    </w:tabs>
                    <w:jc w:val="center"/>
                    <w:rPr>
                      <w:szCs w:val="21"/>
                    </w:rPr>
                  </w:pPr>
                  <w:r>
                    <w:rPr>
                      <w:rFonts w:hint="eastAsia"/>
                      <w:szCs w:val="21"/>
                    </w:rPr>
                    <w:t>0.1135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1417" w:type="dxa"/>
                  <w:vMerge w:val="continue"/>
                  <w:tcBorders>
                    <w:tl2br w:val="nil"/>
                    <w:tr2bl w:val="nil"/>
                  </w:tcBorders>
                  <w:vAlign w:val="center"/>
                </w:tcPr>
                <w:p>
                  <w:pPr>
                    <w:tabs>
                      <w:tab w:val="left" w:pos="0"/>
                    </w:tabs>
                    <w:jc w:val="center"/>
                    <w:rPr>
                      <w:szCs w:val="21"/>
                    </w:rPr>
                  </w:pPr>
                </w:p>
              </w:tc>
              <w:tc>
                <w:tcPr>
                  <w:tcW w:w="2106" w:type="dxa"/>
                  <w:tcBorders>
                    <w:tl2br w:val="nil"/>
                    <w:tr2bl w:val="nil"/>
                  </w:tcBorders>
                  <w:vAlign w:val="center"/>
                </w:tcPr>
                <w:p>
                  <w:pPr>
                    <w:adjustRightInd w:val="0"/>
                    <w:snapToGrid w:val="0"/>
                    <w:spacing w:line="240" w:lineRule="exact"/>
                    <w:jc w:val="center"/>
                    <w:rPr>
                      <w:kern w:val="24"/>
                      <w:szCs w:val="21"/>
                    </w:rPr>
                  </w:pPr>
                  <w:r>
                    <w:rPr>
                      <w:szCs w:val="21"/>
                    </w:rPr>
                    <w:t>悬浮物</w:t>
                  </w:r>
                </w:p>
              </w:tc>
              <w:tc>
                <w:tcPr>
                  <w:tcW w:w="2464" w:type="dxa"/>
                  <w:tcBorders>
                    <w:tl2br w:val="nil"/>
                    <w:tr2bl w:val="nil"/>
                  </w:tcBorders>
                  <w:vAlign w:val="center"/>
                </w:tcPr>
                <w:p>
                  <w:pPr>
                    <w:tabs>
                      <w:tab w:val="left" w:pos="0"/>
                    </w:tabs>
                    <w:jc w:val="center"/>
                    <w:rPr>
                      <w:szCs w:val="21"/>
                    </w:rPr>
                  </w:pPr>
                  <w:r>
                    <w:rPr>
                      <w:rFonts w:hint="eastAsia"/>
                      <w:szCs w:val="21"/>
                    </w:rPr>
                    <w:t>0.1303</w:t>
                  </w:r>
                </w:p>
              </w:tc>
              <w:tc>
                <w:tcPr>
                  <w:tcW w:w="2071" w:type="dxa"/>
                  <w:tcBorders>
                    <w:tl2br w:val="nil"/>
                    <w:tr2bl w:val="nil"/>
                  </w:tcBorders>
                  <w:vAlign w:val="center"/>
                </w:tcPr>
                <w:p>
                  <w:pPr>
                    <w:tabs>
                      <w:tab w:val="left" w:pos="0"/>
                    </w:tabs>
                    <w:jc w:val="center"/>
                    <w:rPr>
                      <w:szCs w:val="21"/>
                    </w:rPr>
                  </w:pPr>
                  <w:r>
                    <w:rPr>
                      <w:rFonts w:hint="eastAsia"/>
                      <w:szCs w:val="21"/>
                    </w:rPr>
                    <w:t>0.0869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417" w:type="dxa"/>
                  <w:vMerge w:val="continue"/>
                  <w:tcBorders>
                    <w:tl2br w:val="nil"/>
                    <w:tr2bl w:val="nil"/>
                  </w:tcBorders>
                  <w:vAlign w:val="center"/>
                </w:tcPr>
                <w:p>
                  <w:pPr>
                    <w:tabs>
                      <w:tab w:val="left" w:pos="0"/>
                    </w:tabs>
                    <w:jc w:val="center"/>
                    <w:rPr>
                      <w:szCs w:val="21"/>
                    </w:rPr>
                  </w:pPr>
                </w:p>
              </w:tc>
              <w:tc>
                <w:tcPr>
                  <w:tcW w:w="2106" w:type="dxa"/>
                  <w:tcBorders>
                    <w:tl2br w:val="nil"/>
                    <w:tr2bl w:val="nil"/>
                  </w:tcBorders>
                  <w:vAlign w:val="center"/>
                </w:tcPr>
                <w:p>
                  <w:pPr>
                    <w:adjustRightInd w:val="0"/>
                    <w:snapToGrid w:val="0"/>
                    <w:spacing w:line="240" w:lineRule="exact"/>
                    <w:jc w:val="center"/>
                    <w:rPr>
                      <w:szCs w:val="21"/>
                    </w:rPr>
                  </w:pPr>
                  <w:r>
                    <w:rPr>
                      <w:szCs w:val="21"/>
                    </w:rPr>
                    <w:t>氨氮</w:t>
                  </w:r>
                </w:p>
              </w:tc>
              <w:tc>
                <w:tcPr>
                  <w:tcW w:w="2464" w:type="dxa"/>
                  <w:tcBorders>
                    <w:tl2br w:val="nil"/>
                    <w:tr2bl w:val="nil"/>
                  </w:tcBorders>
                  <w:vAlign w:val="center"/>
                </w:tcPr>
                <w:p>
                  <w:pPr>
                    <w:tabs>
                      <w:tab w:val="left" w:pos="0"/>
                    </w:tabs>
                    <w:jc w:val="center"/>
                    <w:rPr>
                      <w:szCs w:val="21"/>
                    </w:rPr>
                  </w:pPr>
                  <w:r>
                    <w:rPr>
                      <w:rFonts w:hint="eastAsia"/>
                      <w:szCs w:val="21"/>
                    </w:rPr>
                    <w:t>0.011</w:t>
                  </w:r>
                </w:p>
              </w:tc>
              <w:tc>
                <w:tcPr>
                  <w:tcW w:w="2071" w:type="dxa"/>
                  <w:tcBorders>
                    <w:tl2br w:val="nil"/>
                    <w:tr2bl w:val="nil"/>
                  </w:tcBorders>
                  <w:vAlign w:val="center"/>
                </w:tcPr>
                <w:p>
                  <w:pPr>
                    <w:tabs>
                      <w:tab w:val="left" w:pos="0"/>
                    </w:tabs>
                    <w:jc w:val="center"/>
                    <w:rPr>
                      <w:szCs w:val="21"/>
                    </w:rPr>
                  </w:pPr>
                  <w:r>
                    <w:rPr>
                      <w:rFonts w:hint="eastAsia"/>
                      <w:szCs w:val="21"/>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1417" w:type="dxa"/>
                  <w:vMerge w:val="continue"/>
                  <w:tcBorders>
                    <w:tl2br w:val="nil"/>
                    <w:tr2bl w:val="nil"/>
                  </w:tcBorders>
                  <w:vAlign w:val="center"/>
                </w:tcPr>
                <w:p>
                  <w:pPr>
                    <w:tabs>
                      <w:tab w:val="left" w:pos="0"/>
                    </w:tabs>
                    <w:jc w:val="center"/>
                    <w:rPr>
                      <w:szCs w:val="21"/>
                    </w:rPr>
                  </w:pPr>
                </w:p>
              </w:tc>
              <w:tc>
                <w:tcPr>
                  <w:tcW w:w="2106" w:type="dxa"/>
                  <w:tcBorders>
                    <w:tl2br w:val="nil"/>
                    <w:tr2bl w:val="nil"/>
                  </w:tcBorders>
                  <w:vAlign w:val="center"/>
                </w:tcPr>
                <w:p>
                  <w:pPr>
                    <w:adjustRightInd w:val="0"/>
                    <w:snapToGrid w:val="0"/>
                    <w:spacing w:line="240" w:lineRule="exact"/>
                    <w:jc w:val="center"/>
                    <w:rPr>
                      <w:szCs w:val="21"/>
                    </w:rPr>
                  </w:pPr>
                  <w:r>
                    <w:rPr>
                      <w:bCs/>
                      <w:szCs w:val="21"/>
                    </w:rPr>
                    <w:t>总磷</w:t>
                  </w:r>
                </w:p>
              </w:tc>
              <w:tc>
                <w:tcPr>
                  <w:tcW w:w="2464" w:type="dxa"/>
                  <w:tcBorders>
                    <w:tl2br w:val="nil"/>
                    <w:tr2bl w:val="nil"/>
                  </w:tcBorders>
                  <w:vAlign w:val="center"/>
                </w:tcPr>
                <w:p>
                  <w:pPr>
                    <w:tabs>
                      <w:tab w:val="left" w:pos="0"/>
                    </w:tabs>
                    <w:jc w:val="center"/>
                    <w:rPr>
                      <w:szCs w:val="21"/>
                    </w:rPr>
                  </w:pPr>
                  <w:r>
                    <w:rPr>
                      <w:rFonts w:hint="eastAsia"/>
                      <w:szCs w:val="21"/>
                    </w:rPr>
                    <w:t>0.0022</w:t>
                  </w:r>
                </w:p>
              </w:tc>
              <w:tc>
                <w:tcPr>
                  <w:tcW w:w="2071" w:type="dxa"/>
                  <w:tcBorders>
                    <w:tl2br w:val="nil"/>
                    <w:tr2bl w:val="nil"/>
                  </w:tcBorders>
                  <w:vAlign w:val="center"/>
                </w:tcPr>
                <w:p>
                  <w:pPr>
                    <w:tabs>
                      <w:tab w:val="left" w:pos="0"/>
                    </w:tabs>
                    <w:jc w:val="center"/>
                    <w:rPr>
                      <w:szCs w:val="21"/>
                    </w:rPr>
                  </w:pPr>
                  <w:r>
                    <w:rPr>
                      <w:rFonts w:hint="eastAsia"/>
                      <w:szCs w:val="21"/>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417" w:type="dxa"/>
                  <w:vMerge w:val="continue"/>
                  <w:tcBorders>
                    <w:tl2br w:val="nil"/>
                    <w:tr2bl w:val="nil"/>
                  </w:tcBorders>
                  <w:vAlign w:val="center"/>
                </w:tcPr>
                <w:p>
                  <w:pPr>
                    <w:tabs>
                      <w:tab w:val="left" w:pos="0"/>
                    </w:tabs>
                    <w:jc w:val="center"/>
                    <w:rPr>
                      <w:szCs w:val="21"/>
                    </w:rPr>
                  </w:pPr>
                </w:p>
              </w:tc>
              <w:tc>
                <w:tcPr>
                  <w:tcW w:w="2106" w:type="dxa"/>
                  <w:tcBorders>
                    <w:tl2br w:val="nil"/>
                    <w:tr2bl w:val="nil"/>
                  </w:tcBorders>
                  <w:vAlign w:val="center"/>
                </w:tcPr>
                <w:p>
                  <w:pPr>
                    <w:adjustRightInd w:val="0"/>
                    <w:snapToGrid w:val="0"/>
                    <w:spacing w:line="240" w:lineRule="exact"/>
                    <w:jc w:val="center"/>
                    <w:rPr>
                      <w:szCs w:val="21"/>
                    </w:rPr>
                  </w:pPr>
                  <w:r>
                    <w:rPr>
                      <w:szCs w:val="21"/>
                    </w:rPr>
                    <w:t>石油类</w:t>
                  </w:r>
                </w:p>
              </w:tc>
              <w:tc>
                <w:tcPr>
                  <w:tcW w:w="2464" w:type="dxa"/>
                  <w:tcBorders>
                    <w:tl2br w:val="nil"/>
                    <w:tr2bl w:val="nil"/>
                  </w:tcBorders>
                  <w:vAlign w:val="center"/>
                </w:tcPr>
                <w:p>
                  <w:pPr>
                    <w:tabs>
                      <w:tab w:val="left" w:pos="0"/>
                    </w:tabs>
                    <w:jc w:val="center"/>
                    <w:rPr>
                      <w:szCs w:val="21"/>
                    </w:rPr>
                  </w:pPr>
                  <w:r>
                    <w:rPr>
                      <w:rFonts w:hint="eastAsia"/>
                      <w:szCs w:val="21"/>
                    </w:rPr>
                    <w:t>0.00001</w:t>
                  </w:r>
                </w:p>
              </w:tc>
              <w:tc>
                <w:tcPr>
                  <w:tcW w:w="2071" w:type="dxa"/>
                  <w:tcBorders>
                    <w:tl2br w:val="nil"/>
                    <w:tr2bl w:val="nil"/>
                  </w:tcBorders>
                  <w:vAlign w:val="center"/>
                </w:tcPr>
                <w:p>
                  <w:pPr>
                    <w:tabs>
                      <w:tab w:val="left" w:pos="0"/>
                    </w:tabs>
                    <w:jc w:val="center"/>
                    <w:rPr>
                      <w:szCs w:val="21"/>
                    </w:rPr>
                  </w:pPr>
                  <w:r>
                    <w:rPr>
                      <w:rFonts w:hint="eastAsia"/>
                      <w:szCs w:val="21"/>
                    </w:rPr>
                    <w:t>0.000007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1417" w:type="dxa"/>
                  <w:vMerge w:val="continue"/>
                  <w:tcBorders>
                    <w:tl2br w:val="nil"/>
                    <w:tr2bl w:val="nil"/>
                  </w:tcBorders>
                  <w:vAlign w:val="center"/>
                </w:tcPr>
                <w:p>
                  <w:pPr>
                    <w:tabs>
                      <w:tab w:val="left" w:pos="0"/>
                    </w:tabs>
                    <w:jc w:val="center"/>
                    <w:rPr>
                      <w:szCs w:val="21"/>
                    </w:rPr>
                  </w:pPr>
                </w:p>
              </w:tc>
              <w:tc>
                <w:tcPr>
                  <w:tcW w:w="2106" w:type="dxa"/>
                  <w:tcBorders>
                    <w:tl2br w:val="nil"/>
                    <w:tr2bl w:val="nil"/>
                  </w:tcBorders>
                  <w:vAlign w:val="center"/>
                </w:tcPr>
                <w:p>
                  <w:pPr>
                    <w:adjustRightInd w:val="0"/>
                    <w:snapToGrid w:val="0"/>
                    <w:spacing w:line="240" w:lineRule="exact"/>
                    <w:jc w:val="center"/>
                    <w:rPr>
                      <w:szCs w:val="21"/>
                    </w:rPr>
                  </w:pPr>
                  <w:r>
                    <w:rPr>
                      <w:bCs/>
                      <w:szCs w:val="21"/>
                    </w:rPr>
                    <w:t>动植物油</w:t>
                  </w:r>
                </w:p>
              </w:tc>
              <w:tc>
                <w:tcPr>
                  <w:tcW w:w="2464" w:type="dxa"/>
                  <w:tcBorders>
                    <w:tl2br w:val="nil"/>
                    <w:tr2bl w:val="nil"/>
                  </w:tcBorders>
                  <w:vAlign w:val="center"/>
                </w:tcPr>
                <w:p>
                  <w:pPr>
                    <w:tabs>
                      <w:tab w:val="left" w:pos="0"/>
                    </w:tabs>
                    <w:jc w:val="center"/>
                    <w:rPr>
                      <w:szCs w:val="21"/>
                    </w:rPr>
                  </w:pPr>
                  <w:r>
                    <w:rPr>
                      <w:rFonts w:hint="eastAsia"/>
                      <w:szCs w:val="21"/>
                    </w:rPr>
                    <w:t>0.0043</w:t>
                  </w:r>
                </w:p>
              </w:tc>
              <w:tc>
                <w:tcPr>
                  <w:tcW w:w="2071" w:type="dxa"/>
                  <w:tcBorders>
                    <w:tl2br w:val="nil"/>
                    <w:tr2bl w:val="nil"/>
                  </w:tcBorders>
                  <w:vAlign w:val="center"/>
                </w:tcPr>
                <w:p>
                  <w:pPr>
                    <w:tabs>
                      <w:tab w:val="left" w:pos="0"/>
                    </w:tabs>
                    <w:jc w:val="center"/>
                    <w:rPr>
                      <w:szCs w:val="21"/>
                    </w:rPr>
                  </w:pPr>
                  <w:r>
                    <w:rPr>
                      <w:rFonts w:hint="eastAsia"/>
                      <w:szCs w:val="21"/>
                    </w:rPr>
                    <w:t>0.0029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7" w:type="dxa"/>
                  <w:tcBorders>
                    <w:tl2br w:val="nil"/>
                    <w:tr2bl w:val="nil"/>
                  </w:tcBorders>
                  <w:vAlign w:val="center"/>
                </w:tcPr>
                <w:p>
                  <w:pPr>
                    <w:tabs>
                      <w:tab w:val="left" w:pos="0"/>
                    </w:tabs>
                    <w:jc w:val="center"/>
                    <w:rPr>
                      <w:szCs w:val="21"/>
                    </w:rPr>
                  </w:pPr>
                  <w:r>
                    <w:rPr>
                      <w:szCs w:val="21"/>
                    </w:rPr>
                    <w:t>废气</w:t>
                  </w:r>
                </w:p>
              </w:tc>
              <w:tc>
                <w:tcPr>
                  <w:tcW w:w="6641" w:type="dxa"/>
                  <w:gridSpan w:val="3"/>
                  <w:tcBorders>
                    <w:tl2br w:val="nil"/>
                    <w:tr2bl w:val="nil"/>
                  </w:tcBorders>
                  <w:vAlign w:val="center"/>
                </w:tcPr>
                <w:p>
                  <w:pPr>
                    <w:tabs>
                      <w:tab w:val="left" w:pos="0"/>
                    </w:tabs>
                    <w:jc w:val="center"/>
                    <w:rPr>
                      <w:szCs w:val="21"/>
                    </w:rPr>
                  </w:pPr>
                  <w:r>
                    <w:rPr>
                      <w:rFonts w:hint="eastAsia"/>
                      <w:szCs w:val="21"/>
                    </w:rPr>
                    <w:t>废气污染物作为特征考核因子，不作为总量控制因子，未申请总量指标</w:t>
                  </w:r>
                </w:p>
              </w:tc>
            </w:tr>
          </w:tbl>
          <w:p>
            <w:pPr>
              <w:adjustRightInd w:val="0"/>
              <w:snapToGrid w:val="0"/>
              <w:spacing w:line="360" w:lineRule="auto"/>
              <w:rPr>
                <w:sz w:val="24"/>
              </w:rPr>
            </w:pPr>
          </w:p>
        </w:tc>
      </w:tr>
    </w:tbl>
    <w:p>
      <w:pPr>
        <w:outlineLvl w:val="0"/>
        <w:rPr>
          <w:sz w:val="24"/>
        </w:rPr>
      </w:pPr>
      <w:r>
        <w:rPr>
          <w:sz w:val="24"/>
        </w:rPr>
        <w:br w:type="page"/>
      </w:r>
      <w:r>
        <w:rPr>
          <w:sz w:val="24"/>
        </w:rPr>
        <w:t>表二</w:t>
      </w:r>
    </w:p>
    <w:tbl>
      <w:tblPr>
        <w:tblStyle w:val="18"/>
        <w:tblW w:w="9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6" w:hRule="atLeast"/>
          <w:jc w:val="center"/>
        </w:trPr>
        <w:tc>
          <w:tcPr>
            <w:tcW w:w="9082" w:type="dxa"/>
          </w:tcPr>
          <w:p>
            <w:pPr>
              <w:spacing w:line="360" w:lineRule="exact"/>
              <w:rPr>
                <w:b/>
                <w:sz w:val="24"/>
              </w:rPr>
            </w:pPr>
            <w:r>
              <w:rPr>
                <w:b/>
                <w:sz w:val="24"/>
              </w:rPr>
              <w:t>工程建设内容：</w:t>
            </w:r>
          </w:p>
          <w:p>
            <w:pPr>
              <w:spacing w:line="360" w:lineRule="auto"/>
              <w:ind w:firstLine="480" w:firstLineChars="200"/>
              <w:rPr>
                <w:sz w:val="24"/>
              </w:rPr>
            </w:pPr>
            <w:bookmarkStart w:id="1" w:name="OLE_LINK13"/>
            <w:r>
              <w:rPr>
                <w:rFonts w:hAnsi="宋体"/>
                <w:sz w:val="24"/>
              </w:rPr>
              <w:t>丰臣（常州）热处理有限公司成立于</w:t>
            </w:r>
            <w:r>
              <w:rPr>
                <w:sz w:val="24"/>
              </w:rPr>
              <w:t>20</w:t>
            </w:r>
            <w:r>
              <w:rPr>
                <w:rFonts w:hint="eastAsia"/>
                <w:sz w:val="24"/>
              </w:rPr>
              <w:t>14</w:t>
            </w:r>
            <w:r>
              <w:rPr>
                <w:rFonts w:hAnsi="宋体"/>
                <w:sz w:val="24"/>
              </w:rPr>
              <w:t>年</w:t>
            </w:r>
            <w:r>
              <w:rPr>
                <w:rFonts w:hint="eastAsia"/>
                <w:sz w:val="24"/>
              </w:rPr>
              <w:t>6</w:t>
            </w:r>
            <w:r>
              <w:rPr>
                <w:rFonts w:hAnsi="宋体"/>
                <w:sz w:val="24"/>
              </w:rPr>
              <w:t>月</w:t>
            </w:r>
            <w:r>
              <w:rPr>
                <w:rFonts w:hint="eastAsia"/>
                <w:sz w:val="24"/>
              </w:rPr>
              <w:t>27</w:t>
            </w:r>
            <w:r>
              <w:rPr>
                <w:rFonts w:hAnsi="宋体"/>
                <w:sz w:val="24"/>
              </w:rPr>
              <w:t>日，是一家从事</w:t>
            </w:r>
            <w:r>
              <w:rPr>
                <w:rFonts w:hint="eastAsia" w:hAnsi="宋体"/>
                <w:sz w:val="24"/>
              </w:rPr>
              <w:t>金属热加工处理及相关技术研发等</w:t>
            </w:r>
            <w:r>
              <w:rPr>
                <w:rFonts w:hAnsi="宋体"/>
                <w:sz w:val="24"/>
              </w:rPr>
              <w:t>的公司。</w:t>
            </w:r>
            <w:bookmarkEnd w:id="1"/>
            <w:r>
              <w:rPr>
                <w:rFonts w:hAnsi="宋体"/>
                <w:sz w:val="24"/>
              </w:rPr>
              <w:t>公司位于常州市新北区罗溪镇黄河西路388号粤海工业园-常州空港园，项目</w:t>
            </w:r>
            <w:r>
              <w:rPr>
                <w:rFonts w:hint="eastAsia" w:hAnsi="宋体"/>
                <w:sz w:val="24"/>
              </w:rPr>
              <w:t>东</w:t>
            </w:r>
            <w:r>
              <w:rPr>
                <w:rFonts w:hAnsi="宋体"/>
                <w:sz w:val="24"/>
              </w:rPr>
              <w:t>侧</w:t>
            </w:r>
            <w:r>
              <w:rPr>
                <w:rFonts w:hint="eastAsia" w:hAnsi="宋体"/>
                <w:sz w:val="24"/>
              </w:rPr>
              <w:t>和</w:t>
            </w:r>
            <w:r>
              <w:rPr>
                <w:rFonts w:hAnsi="宋体"/>
                <w:sz w:val="24"/>
              </w:rPr>
              <w:t>北侧为粤海工业园其他厂房，</w:t>
            </w:r>
            <w:r>
              <w:rPr>
                <w:rFonts w:hint="eastAsia" w:hAnsi="宋体"/>
                <w:sz w:val="24"/>
              </w:rPr>
              <w:t>南</w:t>
            </w:r>
            <w:r>
              <w:rPr>
                <w:rFonts w:hAnsi="宋体"/>
                <w:sz w:val="24"/>
              </w:rPr>
              <w:t>侧隔黄河西路为</w:t>
            </w:r>
            <w:r>
              <w:rPr>
                <w:rFonts w:hint="eastAsia" w:hAnsi="宋体"/>
                <w:sz w:val="24"/>
              </w:rPr>
              <w:t>规划用地</w:t>
            </w:r>
            <w:r>
              <w:rPr>
                <w:rFonts w:hAnsi="宋体"/>
                <w:sz w:val="24"/>
              </w:rPr>
              <w:t>，</w:t>
            </w:r>
            <w:r>
              <w:rPr>
                <w:rFonts w:hint="eastAsia" w:hAnsi="宋体"/>
                <w:sz w:val="24"/>
              </w:rPr>
              <w:t>西</w:t>
            </w:r>
            <w:r>
              <w:rPr>
                <w:rFonts w:hAnsi="宋体"/>
                <w:sz w:val="24"/>
              </w:rPr>
              <w:t>侧</w:t>
            </w:r>
            <w:r>
              <w:rPr>
                <w:rFonts w:hint="eastAsia" w:hAnsi="宋体"/>
                <w:sz w:val="24"/>
              </w:rPr>
              <w:t>隔韶山路为江苏南开铝业有限公司</w:t>
            </w:r>
            <w:r>
              <w:rPr>
                <w:rFonts w:hAnsi="宋体"/>
                <w:sz w:val="24"/>
              </w:rPr>
              <w:t>。本项目</w:t>
            </w:r>
            <w:r>
              <w:rPr>
                <w:rFonts w:hint="eastAsia" w:hAnsi="宋体"/>
                <w:sz w:val="24"/>
              </w:rPr>
              <w:t>300米范围内无敏感目标。</w:t>
            </w:r>
            <w:r>
              <w:rPr>
                <w:rFonts w:hAnsi="宋体"/>
                <w:sz w:val="24"/>
              </w:rPr>
              <w:t>丰臣（常州）热处理有限公司总投资</w:t>
            </w:r>
            <w:r>
              <w:rPr>
                <w:rFonts w:hint="eastAsia"/>
                <w:sz w:val="24"/>
              </w:rPr>
              <w:t>800</w:t>
            </w:r>
            <w:r>
              <w:rPr>
                <w:rFonts w:hAnsi="宋体"/>
                <w:sz w:val="24"/>
              </w:rPr>
              <w:t>万美元，</w:t>
            </w:r>
            <w:r>
              <w:rPr>
                <w:rFonts w:hint="eastAsia" w:hAnsi="宋体"/>
                <w:sz w:val="24"/>
              </w:rPr>
              <w:t>租赁</w:t>
            </w:r>
            <w:r>
              <w:rPr>
                <w:rFonts w:hAnsi="宋体"/>
                <w:sz w:val="24"/>
              </w:rPr>
              <w:t>粤海工业园-常州空港园</w:t>
            </w:r>
            <w:r>
              <w:rPr>
                <w:rFonts w:hint="eastAsia" w:hAnsi="宋体"/>
                <w:sz w:val="24"/>
              </w:rPr>
              <w:t>11号厂房AB单元，购置一室真空炉、多式真空炉、回火炉等设备，进行</w:t>
            </w:r>
            <w:r>
              <w:rPr>
                <w:rFonts w:hAnsi="宋体"/>
                <w:sz w:val="24"/>
              </w:rPr>
              <w:t>新建金属制品热处理加工项目。</w:t>
            </w:r>
            <w:r>
              <w:rPr>
                <w:rFonts w:hint="eastAsia" w:hAnsi="宋体"/>
                <w:sz w:val="24"/>
              </w:rPr>
              <w:t>本项目</w:t>
            </w:r>
            <w:r>
              <w:rPr>
                <w:rFonts w:hAnsi="宋体"/>
                <w:sz w:val="24"/>
              </w:rPr>
              <w:t>员工共</w:t>
            </w:r>
            <w:r>
              <w:rPr>
                <w:rFonts w:hint="eastAsia"/>
                <w:sz w:val="24"/>
              </w:rPr>
              <w:t>18</w:t>
            </w:r>
            <w:r>
              <w:rPr>
                <w:rFonts w:hAnsi="宋体"/>
                <w:sz w:val="24"/>
              </w:rPr>
              <w:t>人，</w:t>
            </w:r>
            <w:r>
              <w:rPr>
                <w:rFonts w:hint="eastAsia" w:hAnsi="宋体"/>
                <w:sz w:val="24"/>
              </w:rPr>
              <w:t>四班</w:t>
            </w:r>
            <w:r>
              <w:rPr>
                <w:rFonts w:hAnsi="宋体"/>
                <w:sz w:val="24"/>
              </w:rPr>
              <w:t>三运转，每班</w:t>
            </w:r>
            <w:r>
              <w:rPr>
                <w:rFonts w:hint="eastAsia"/>
                <w:sz w:val="24"/>
              </w:rPr>
              <w:t>8</w:t>
            </w:r>
            <w:r>
              <w:rPr>
                <w:rFonts w:hAnsi="宋体"/>
                <w:sz w:val="24"/>
              </w:rPr>
              <w:t>小时，年工作</w:t>
            </w:r>
            <w:r>
              <w:rPr>
                <w:sz w:val="24"/>
              </w:rPr>
              <w:t>300</w:t>
            </w:r>
            <w:r>
              <w:rPr>
                <w:rFonts w:hAnsi="宋体"/>
                <w:sz w:val="24"/>
              </w:rPr>
              <w:t>天。</w:t>
            </w:r>
          </w:p>
          <w:p>
            <w:pPr>
              <w:spacing w:line="360" w:lineRule="auto"/>
              <w:ind w:firstLine="480" w:firstLineChars="200"/>
              <w:rPr>
                <w:rFonts w:hAnsi="宋体"/>
                <w:sz w:val="24"/>
              </w:rPr>
            </w:pPr>
            <w:r>
              <w:rPr>
                <w:sz w:val="24"/>
              </w:rPr>
              <w:t>丰臣（常州）</w:t>
            </w:r>
            <w:r>
              <w:rPr>
                <w:rFonts w:hAnsi="宋体"/>
                <w:sz w:val="24"/>
              </w:rPr>
              <w:t>热处理有限公司于201</w:t>
            </w:r>
            <w:r>
              <w:rPr>
                <w:rFonts w:hint="eastAsia" w:hAnsi="宋体"/>
                <w:sz w:val="24"/>
              </w:rPr>
              <w:t>4</w:t>
            </w:r>
            <w:r>
              <w:rPr>
                <w:rFonts w:hAnsi="宋体"/>
                <w:sz w:val="24"/>
              </w:rPr>
              <w:t>年</w:t>
            </w:r>
            <w:r>
              <w:rPr>
                <w:rFonts w:hint="eastAsia" w:hAnsi="宋体"/>
                <w:sz w:val="24"/>
              </w:rPr>
              <w:t>5</w:t>
            </w:r>
            <w:r>
              <w:rPr>
                <w:rFonts w:hAnsi="宋体"/>
                <w:sz w:val="24"/>
              </w:rPr>
              <w:t>月</w:t>
            </w:r>
            <w:r>
              <w:rPr>
                <w:rFonts w:hint="eastAsia" w:hAnsi="宋体"/>
                <w:sz w:val="24"/>
              </w:rPr>
              <w:t>29</w:t>
            </w:r>
            <w:r>
              <w:rPr>
                <w:rFonts w:hAnsi="宋体"/>
                <w:sz w:val="24"/>
              </w:rPr>
              <w:t>日于</w:t>
            </w:r>
            <w:r>
              <w:rPr>
                <w:rFonts w:hint="eastAsia" w:hAnsi="宋体"/>
                <w:sz w:val="24"/>
              </w:rPr>
              <w:t>常州高新技术产业开发区经济发展局及常州市新北区经济发展局</w:t>
            </w:r>
            <w:r>
              <w:rPr>
                <w:rFonts w:hAnsi="宋体"/>
                <w:sz w:val="24"/>
              </w:rPr>
              <w:t>登记备案，</w:t>
            </w:r>
            <w:r>
              <w:rPr>
                <w:rFonts w:hint="eastAsia" w:hAnsi="宋体"/>
                <w:sz w:val="24"/>
              </w:rPr>
              <w:t>备案</w:t>
            </w:r>
            <w:r>
              <w:rPr>
                <w:rFonts w:hAnsi="宋体"/>
                <w:sz w:val="24"/>
              </w:rPr>
              <w:t>号为</w:t>
            </w:r>
            <w:r>
              <w:rPr>
                <w:rFonts w:hint="eastAsia" w:hAnsi="宋体"/>
                <w:sz w:val="24"/>
              </w:rPr>
              <w:t>：2014148</w:t>
            </w:r>
            <w:r>
              <w:rPr>
                <w:rFonts w:hAnsi="宋体"/>
                <w:sz w:val="24"/>
              </w:rPr>
              <w:t>。201</w:t>
            </w:r>
            <w:r>
              <w:rPr>
                <w:rFonts w:hint="eastAsia" w:hAnsi="宋体"/>
                <w:sz w:val="24"/>
              </w:rPr>
              <w:t>4</w:t>
            </w:r>
            <w:r>
              <w:rPr>
                <w:rFonts w:hAnsi="宋体"/>
                <w:sz w:val="24"/>
              </w:rPr>
              <w:t>年</w:t>
            </w:r>
            <w:r>
              <w:rPr>
                <w:rFonts w:hint="eastAsia" w:hAnsi="宋体"/>
                <w:sz w:val="24"/>
              </w:rPr>
              <w:t>6</w:t>
            </w:r>
            <w:r>
              <w:rPr>
                <w:rFonts w:hAnsi="宋体"/>
                <w:sz w:val="24"/>
              </w:rPr>
              <w:t>月委托江苏常环环境科技有限公司编制《丰臣（常州）热处理有限公司新建金属制品热处理加工项目环境影响报告表》，201</w:t>
            </w:r>
            <w:r>
              <w:rPr>
                <w:rFonts w:hint="eastAsia" w:hAnsi="宋体"/>
                <w:sz w:val="24"/>
              </w:rPr>
              <w:t>4</w:t>
            </w:r>
            <w:r>
              <w:rPr>
                <w:rFonts w:hAnsi="宋体"/>
                <w:sz w:val="24"/>
              </w:rPr>
              <w:t>年</w:t>
            </w:r>
            <w:r>
              <w:rPr>
                <w:rFonts w:hint="eastAsia" w:hAnsi="宋体"/>
                <w:sz w:val="24"/>
              </w:rPr>
              <w:t>6</w:t>
            </w:r>
            <w:r>
              <w:rPr>
                <w:rFonts w:hAnsi="宋体"/>
                <w:sz w:val="24"/>
              </w:rPr>
              <w:t>月1</w:t>
            </w:r>
            <w:r>
              <w:rPr>
                <w:rFonts w:hint="eastAsia" w:hAnsi="宋体"/>
                <w:sz w:val="24"/>
              </w:rPr>
              <w:t>8</w:t>
            </w:r>
            <w:r>
              <w:rPr>
                <w:rFonts w:hAnsi="宋体"/>
                <w:sz w:val="24"/>
              </w:rPr>
              <w:t>日取得常州国家高新区环境保护局审批意见，批准文号为常新环表[2014]75号。由于环评漏评淬火</w:t>
            </w:r>
            <w:r>
              <w:rPr>
                <w:rFonts w:hint="eastAsia" w:hAnsi="宋体"/>
                <w:sz w:val="24"/>
              </w:rPr>
              <w:t>、回火工序和消磁退火工序废气产生排放情况，2015年10月8日</w:t>
            </w:r>
            <w:r>
              <w:rPr>
                <w:rFonts w:hAnsi="宋体"/>
                <w:sz w:val="24"/>
              </w:rPr>
              <w:t>委托江苏常环环境科技有限公司编制</w:t>
            </w:r>
            <w:r>
              <w:rPr>
                <w:rFonts w:hint="eastAsia" w:hAnsi="宋体"/>
                <w:sz w:val="24"/>
              </w:rPr>
              <w:t>《关于丰臣（常州）热处理有限公司新建金属制品热处理加工项目的情况说明》，以下简称《情况说明》，</w:t>
            </w:r>
            <w:r>
              <w:rPr>
                <w:rFonts w:hAnsi="宋体"/>
                <w:sz w:val="24"/>
              </w:rPr>
              <w:t>具体项目情况见表2-</w:t>
            </w:r>
            <w:r>
              <w:rPr>
                <w:rFonts w:hint="eastAsia" w:hAnsi="宋体"/>
                <w:sz w:val="24"/>
              </w:rPr>
              <w:t>1</w:t>
            </w:r>
            <w:r>
              <w:rPr>
                <w:rFonts w:hAnsi="宋体"/>
                <w:sz w:val="24"/>
              </w:rPr>
              <w:t>。</w:t>
            </w: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b/>
                <w:bCs/>
                <w:sz w:val="24"/>
              </w:rPr>
            </w:pPr>
          </w:p>
          <w:p>
            <w:pPr>
              <w:spacing w:beforeLines="50"/>
              <w:jc w:val="center"/>
              <w:rPr>
                <w:sz w:val="24"/>
              </w:rPr>
            </w:pPr>
            <w:r>
              <w:rPr>
                <w:b/>
                <w:bCs/>
                <w:sz w:val="24"/>
              </w:rPr>
              <w:t>表2-</w:t>
            </w:r>
            <w:r>
              <w:rPr>
                <w:rFonts w:hint="eastAsia"/>
                <w:b/>
                <w:bCs/>
                <w:sz w:val="24"/>
              </w:rPr>
              <w:t>1</w:t>
            </w:r>
            <w:r>
              <w:rPr>
                <w:b/>
                <w:bCs/>
                <w:sz w:val="24"/>
              </w:rPr>
              <w:t xml:space="preserve">  本项目情况一览表</w:t>
            </w:r>
          </w:p>
          <w:tbl>
            <w:tblPr>
              <w:tblStyle w:val="18"/>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5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b/>
                      <w:bCs/>
                      <w:szCs w:val="21"/>
                    </w:rPr>
                  </w:pPr>
                  <w:r>
                    <w:rPr>
                      <w:rFonts w:hAnsi="宋体"/>
                      <w:b/>
                      <w:bCs/>
                      <w:szCs w:val="21"/>
                    </w:rPr>
                    <w:t>序号</w:t>
                  </w:r>
                </w:p>
              </w:tc>
              <w:tc>
                <w:tcPr>
                  <w:tcW w:w="2127" w:type="dxa"/>
                  <w:vAlign w:val="center"/>
                </w:tcPr>
                <w:p>
                  <w:pPr>
                    <w:jc w:val="center"/>
                    <w:rPr>
                      <w:b/>
                      <w:bCs/>
                      <w:szCs w:val="21"/>
                    </w:rPr>
                  </w:pPr>
                  <w:r>
                    <w:rPr>
                      <w:rFonts w:hAnsi="宋体"/>
                      <w:b/>
                      <w:bCs/>
                      <w:szCs w:val="21"/>
                    </w:rPr>
                    <w:t>项目</w:t>
                  </w:r>
                </w:p>
              </w:tc>
              <w:tc>
                <w:tcPr>
                  <w:tcW w:w="5720" w:type="dxa"/>
                  <w:vAlign w:val="center"/>
                </w:tcPr>
                <w:p>
                  <w:pPr>
                    <w:jc w:val="center"/>
                    <w:rPr>
                      <w:b/>
                      <w:bCs/>
                      <w:szCs w:val="21"/>
                    </w:rPr>
                  </w:pPr>
                  <w:r>
                    <w:rPr>
                      <w:rFonts w:hAnsi="宋体"/>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1</w:t>
                  </w:r>
                </w:p>
              </w:tc>
              <w:tc>
                <w:tcPr>
                  <w:tcW w:w="2127" w:type="dxa"/>
                  <w:vAlign w:val="center"/>
                </w:tcPr>
                <w:p>
                  <w:pPr>
                    <w:jc w:val="center"/>
                    <w:rPr>
                      <w:szCs w:val="21"/>
                    </w:rPr>
                  </w:pPr>
                  <w:r>
                    <w:rPr>
                      <w:rFonts w:hAnsi="宋体"/>
                      <w:szCs w:val="21"/>
                    </w:rPr>
                    <w:t>备案</w:t>
                  </w:r>
                </w:p>
              </w:tc>
              <w:tc>
                <w:tcPr>
                  <w:tcW w:w="5720" w:type="dxa"/>
                  <w:vAlign w:val="center"/>
                </w:tcPr>
                <w:p>
                  <w:pPr>
                    <w:jc w:val="center"/>
                    <w:rPr>
                      <w:rFonts w:hAnsi="宋体"/>
                      <w:szCs w:val="21"/>
                    </w:rPr>
                  </w:pPr>
                  <w:r>
                    <w:rPr>
                      <w:szCs w:val="21"/>
                    </w:rPr>
                    <w:t>2</w:t>
                  </w:r>
                  <w:r>
                    <w:rPr>
                      <w:rFonts w:hAnsi="宋体"/>
                      <w:szCs w:val="21"/>
                    </w:rPr>
                    <w:t>01</w:t>
                  </w:r>
                  <w:r>
                    <w:rPr>
                      <w:rFonts w:hint="eastAsia" w:hAnsi="宋体"/>
                      <w:szCs w:val="21"/>
                    </w:rPr>
                    <w:t>4</w:t>
                  </w:r>
                  <w:r>
                    <w:rPr>
                      <w:rFonts w:hAnsi="宋体"/>
                      <w:szCs w:val="21"/>
                    </w:rPr>
                    <w:t>年</w:t>
                  </w:r>
                  <w:r>
                    <w:rPr>
                      <w:rFonts w:hint="eastAsia" w:hAnsi="宋体"/>
                      <w:szCs w:val="21"/>
                    </w:rPr>
                    <w:t>5</w:t>
                  </w:r>
                  <w:r>
                    <w:rPr>
                      <w:rFonts w:hAnsi="宋体"/>
                      <w:szCs w:val="21"/>
                    </w:rPr>
                    <w:t>月</w:t>
                  </w:r>
                  <w:r>
                    <w:rPr>
                      <w:rFonts w:hint="eastAsia" w:hAnsi="宋体"/>
                      <w:szCs w:val="21"/>
                    </w:rPr>
                    <w:t>29</w:t>
                  </w:r>
                  <w:r>
                    <w:rPr>
                      <w:rFonts w:hAnsi="宋体"/>
                      <w:szCs w:val="21"/>
                    </w:rPr>
                    <w:t>日，常州高新技术产业开发区经济发展局及常州市新北区经济发展局，（</w:t>
                  </w:r>
                  <w:r>
                    <w:rPr>
                      <w:rFonts w:hint="eastAsia" w:hAnsi="宋体"/>
                      <w:szCs w:val="21"/>
                    </w:rPr>
                    <w:t>备案</w:t>
                  </w:r>
                  <w:r>
                    <w:rPr>
                      <w:rFonts w:hAnsi="宋体"/>
                      <w:szCs w:val="21"/>
                    </w:rPr>
                    <w:t>号</w:t>
                  </w:r>
                  <w:r>
                    <w:rPr>
                      <w:rFonts w:hint="eastAsia" w:hAnsi="宋体"/>
                      <w:szCs w:val="21"/>
                    </w:rPr>
                    <w:t>：2014148</w:t>
                  </w:r>
                  <w:r>
                    <w:rPr>
                      <w:rFonts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2</w:t>
                  </w:r>
                </w:p>
              </w:tc>
              <w:tc>
                <w:tcPr>
                  <w:tcW w:w="2127" w:type="dxa"/>
                  <w:vAlign w:val="center"/>
                </w:tcPr>
                <w:p>
                  <w:pPr>
                    <w:jc w:val="center"/>
                    <w:rPr>
                      <w:szCs w:val="21"/>
                    </w:rPr>
                  </w:pPr>
                  <w:r>
                    <w:rPr>
                      <w:rFonts w:hAnsi="宋体"/>
                      <w:szCs w:val="21"/>
                    </w:rPr>
                    <w:t>环评</w:t>
                  </w:r>
                </w:p>
              </w:tc>
              <w:tc>
                <w:tcPr>
                  <w:tcW w:w="5720" w:type="dxa"/>
                  <w:vAlign w:val="center"/>
                </w:tcPr>
                <w:p>
                  <w:pPr>
                    <w:jc w:val="center"/>
                    <w:rPr>
                      <w:szCs w:val="21"/>
                    </w:rPr>
                  </w:pPr>
                  <w:r>
                    <w:rPr>
                      <w:szCs w:val="21"/>
                    </w:rPr>
                    <w:t>201</w:t>
                  </w:r>
                  <w:r>
                    <w:rPr>
                      <w:rFonts w:hint="eastAsia"/>
                      <w:szCs w:val="21"/>
                    </w:rPr>
                    <w:t>4</w:t>
                  </w:r>
                  <w:r>
                    <w:rPr>
                      <w:szCs w:val="21"/>
                    </w:rPr>
                    <w:t>年</w:t>
                  </w:r>
                  <w:r>
                    <w:rPr>
                      <w:rFonts w:hint="eastAsia"/>
                      <w:szCs w:val="21"/>
                    </w:rPr>
                    <w:t>6</w:t>
                  </w:r>
                  <w:r>
                    <w:rPr>
                      <w:szCs w:val="21"/>
                    </w:rPr>
                    <w:t>月委托江苏常环环境科技有限公司</w:t>
                  </w:r>
                </w:p>
                <w:p>
                  <w:pPr>
                    <w:jc w:val="center"/>
                    <w:rPr>
                      <w:szCs w:val="21"/>
                    </w:rPr>
                  </w:pPr>
                  <w:r>
                    <w:rPr>
                      <w:rFonts w:hAnsi="宋体"/>
                      <w:szCs w:val="21"/>
                    </w:rPr>
                    <w:t>完成本项目环境影响评价报告表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3</w:t>
                  </w:r>
                </w:p>
              </w:tc>
              <w:tc>
                <w:tcPr>
                  <w:tcW w:w="2127" w:type="dxa"/>
                  <w:vAlign w:val="center"/>
                </w:tcPr>
                <w:p>
                  <w:pPr>
                    <w:jc w:val="center"/>
                    <w:rPr>
                      <w:szCs w:val="21"/>
                    </w:rPr>
                  </w:pPr>
                  <w:r>
                    <w:rPr>
                      <w:rFonts w:hAnsi="宋体"/>
                      <w:szCs w:val="21"/>
                    </w:rPr>
                    <w:t>环评批复</w:t>
                  </w:r>
                </w:p>
              </w:tc>
              <w:tc>
                <w:tcPr>
                  <w:tcW w:w="5720" w:type="dxa"/>
                  <w:vAlign w:val="center"/>
                </w:tcPr>
                <w:p>
                  <w:pPr>
                    <w:jc w:val="center"/>
                    <w:rPr>
                      <w:szCs w:val="21"/>
                    </w:rPr>
                  </w:pPr>
                  <w:r>
                    <w:rPr>
                      <w:szCs w:val="21"/>
                    </w:rPr>
                    <w:t>201</w:t>
                  </w:r>
                  <w:r>
                    <w:rPr>
                      <w:rFonts w:hint="eastAsia"/>
                      <w:szCs w:val="21"/>
                    </w:rPr>
                    <w:t>4</w:t>
                  </w:r>
                  <w:r>
                    <w:rPr>
                      <w:rFonts w:hAnsi="宋体"/>
                      <w:szCs w:val="21"/>
                    </w:rPr>
                    <w:t>年</w:t>
                  </w:r>
                  <w:r>
                    <w:rPr>
                      <w:rFonts w:hint="eastAsia"/>
                      <w:szCs w:val="21"/>
                    </w:rPr>
                    <w:t>6</w:t>
                  </w:r>
                  <w:r>
                    <w:rPr>
                      <w:rFonts w:hAnsi="宋体"/>
                      <w:szCs w:val="21"/>
                    </w:rPr>
                    <w:t>月</w:t>
                  </w:r>
                  <w:r>
                    <w:rPr>
                      <w:szCs w:val="21"/>
                    </w:rPr>
                    <w:t>1</w:t>
                  </w:r>
                  <w:r>
                    <w:rPr>
                      <w:rFonts w:hint="eastAsia"/>
                      <w:szCs w:val="21"/>
                    </w:rPr>
                    <w:t>8</w:t>
                  </w:r>
                  <w:r>
                    <w:rPr>
                      <w:rFonts w:hAnsi="宋体"/>
                      <w:szCs w:val="21"/>
                    </w:rPr>
                    <w:t>日取得常州国家高新区环境保护局审批意见，批准文号为常新环表[2014]75号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4</w:t>
                  </w:r>
                </w:p>
              </w:tc>
              <w:tc>
                <w:tcPr>
                  <w:tcW w:w="2127" w:type="dxa"/>
                  <w:vAlign w:val="center"/>
                </w:tcPr>
                <w:p>
                  <w:pPr>
                    <w:jc w:val="center"/>
                    <w:rPr>
                      <w:szCs w:val="21"/>
                    </w:rPr>
                  </w:pPr>
                  <w:r>
                    <w:rPr>
                      <w:rFonts w:hAnsi="宋体"/>
                      <w:szCs w:val="21"/>
                    </w:rPr>
                    <w:t>设计建设规模</w:t>
                  </w:r>
                </w:p>
              </w:tc>
              <w:tc>
                <w:tcPr>
                  <w:tcW w:w="5720" w:type="dxa"/>
                  <w:vAlign w:val="center"/>
                </w:tcPr>
                <w:p>
                  <w:pPr>
                    <w:jc w:val="center"/>
                    <w:rPr>
                      <w:szCs w:val="21"/>
                    </w:rPr>
                  </w:pPr>
                  <w:r>
                    <w:rPr>
                      <w:rFonts w:hAnsi="宋体"/>
                      <w:szCs w:val="21"/>
                    </w:rPr>
                    <w:t>年产汽车用冷间锻造零件</w:t>
                  </w:r>
                  <w:r>
                    <w:rPr>
                      <w:rFonts w:hint="eastAsia" w:hAnsi="宋体"/>
                      <w:szCs w:val="21"/>
                    </w:rPr>
                    <w:t>180万个、柴油机及汽油机燃油喷射装置900万套、汽车</w:t>
                  </w:r>
                  <w:r>
                    <w:rPr>
                      <w:rFonts w:hAnsi="宋体"/>
                      <w:szCs w:val="21"/>
                    </w:rPr>
                    <w:t>用继电器零件</w:t>
                  </w:r>
                  <w:r>
                    <w:rPr>
                      <w:rFonts w:hint="eastAsia" w:hAnsi="宋体"/>
                      <w:szCs w:val="21"/>
                    </w:rPr>
                    <w:t>240万套、自行车用刹车零部件720万套、冷、热间锻造用金属模具2500公斤、机械零件不锈钢零件120万个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5</w:t>
                  </w:r>
                </w:p>
              </w:tc>
              <w:tc>
                <w:tcPr>
                  <w:tcW w:w="2127" w:type="dxa"/>
                  <w:vAlign w:val="center"/>
                </w:tcPr>
                <w:p>
                  <w:pPr>
                    <w:jc w:val="center"/>
                    <w:rPr>
                      <w:szCs w:val="21"/>
                    </w:rPr>
                  </w:pPr>
                  <w:r>
                    <w:rPr>
                      <w:rFonts w:hAnsi="宋体"/>
                      <w:szCs w:val="21"/>
                    </w:rPr>
                    <w:t>实际建设规模</w:t>
                  </w:r>
                </w:p>
              </w:tc>
              <w:tc>
                <w:tcPr>
                  <w:tcW w:w="5720" w:type="dxa"/>
                  <w:vAlign w:val="center"/>
                </w:tcPr>
                <w:p>
                  <w:pPr>
                    <w:jc w:val="center"/>
                    <w:rPr>
                      <w:szCs w:val="21"/>
                    </w:rPr>
                  </w:pPr>
                  <w:r>
                    <w:rPr>
                      <w:rFonts w:hAnsi="宋体"/>
                      <w:szCs w:val="21"/>
                    </w:rPr>
                    <w:t>年产汽车用冷间锻造零件</w:t>
                  </w:r>
                  <w:r>
                    <w:rPr>
                      <w:rFonts w:hint="eastAsia" w:hAnsi="宋体"/>
                      <w:szCs w:val="21"/>
                    </w:rPr>
                    <w:t>120万个、柴油机及汽油机燃油喷射装置600万套、汽车</w:t>
                  </w:r>
                  <w:r>
                    <w:rPr>
                      <w:rFonts w:hAnsi="宋体"/>
                      <w:szCs w:val="21"/>
                    </w:rPr>
                    <w:t>用继电器零件</w:t>
                  </w:r>
                  <w:r>
                    <w:rPr>
                      <w:rFonts w:hint="eastAsia" w:hAnsi="宋体"/>
                      <w:szCs w:val="21"/>
                    </w:rPr>
                    <w:t>160万套、自行车用刹车零部件480万套、冷、热间锻造用金属模具1667公斤、机械零件不锈钢零件80万个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6</w:t>
                  </w:r>
                </w:p>
              </w:tc>
              <w:tc>
                <w:tcPr>
                  <w:tcW w:w="2127" w:type="dxa"/>
                  <w:vAlign w:val="center"/>
                </w:tcPr>
                <w:p>
                  <w:pPr>
                    <w:jc w:val="center"/>
                    <w:rPr>
                      <w:szCs w:val="21"/>
                    </w:rPr>
                  </w:pPr>
                  <w:r>
                    <w:rPr>
                      <w:rFonts w:hAnsi="宋体"/>
                      <w:szCs w:val="21"/>
                    </w:rPr>
                    <w:t>项目动工及竣工时间</w:t>
                  </w:r>
                </w:p>
              </w:tc>
              <w:tc>
                <w:tcPr>
                  <w:tcW w:w="5720" w:type="dxa"/>
                  <w:vAlign w:val="center"/>
                </w:tcPr>
                <w:p>
                  <w:pPr>
                    <w:jc w:val="center"/>
                    <w:rPr>
                      <w:szCs w:val="21"/>
                    </w:rPr>
                  </w:pPr>
                  <w:r>
                    <w:rPr>
                      <w:szCs w:val="21"/>
                    </w:rPr>
                    <w:t>201</w:t>
                  </w:r>
                  <w:r>
                    <w:rPr>
                      <w:rFonts w:hint="eastAsia"/>
                      <w:szCs w:val="21"/>
                    </w:rPr>
                    <w:t>5</w:t>
                  </w:r>
                  <w:r>
                    <w:rPr>
                      <w:rFonts w:hAnsi="宋体"/>
                      <w:szCs w:val="21"/>
                    </w:rPr>
                    <w:t>年</w:t>
                  </w:r>
                  <w:r>
                    <w:rPr>
                      <w:rFonts w:hint="eastAsia"/>
                      <w:szCs w:val="21"/>
                    </w:rPr>
                    <w:t>4</w:t>
                  </w:r>
                  <w:r>
                    <w:rPr>
                      <w:rFonts w:hAnsi="宋体"/>
                      <w:szCs w:val="21"/>
                    </w:rPr>
                    <w:t>月开工建设，</w:t>
                  </w:r>
                  <w:r>
                    <w:rPr>
                      <w:szCs w:val="21"/>
                    </w:rPr>
                    <w:t>2018</w:t>
                  </w:r>
                  <w:r>
                    <w:rPr>
                      <w:rFonts w:hAnsi="宋体"/>
                      <w:szCs w:val="21"/>
                    </w:rPr>
                    <w:t>年</w:t>
                  </w:r>
                  <w:r>
                    <w:rPr>
                      <w:rFonts w:hint="eastAsia"/>
                      <w:szCs w:val="21"/>
                    </w:rPr>
                    <w:t>8</w:t>
                  </w:r>
                  <w:r>
                    <w:rPr>
                      <w:rFonts w:hAnsi="宋体"/>
                      <w:szCs w:val="21"/>
                    </w:rPr>
                    <w:t>月竣工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7</w:t>
                  </w:r>
                </w:p>
              </w:tc>
              <w:tc>
                <w:tcPr>
                  <w:tcW w:w="2127" w:type="dxa"/>
                  <w:vAlign w:val="center"/>
                </w:tcPr>
                <w:p>
                  <w:pPr>
                    <w:jc w:val="center"/>
                    <w:rPr>
                      <w:szCs w:val="21"/>
                    </w:rPr>
                  </w:pPr>
                  <w:r>
                    <w:rPr>
                      <w:rFonts w:hAnsi="宋体"/>
                      <w:szCs w:val="21"/>
                    </w:rPr>
                    <w:t>项目投入试生产时间</w:t>
                  </w:r>
                </w:p>
              </w:tc>
              <w:tc>
                <w:tcPr>
                  <w:tcW w:w="5720" w:type="dxa"/>
                  <w:vAlign w:val="center"/>
                </w:tcPr>
                <w:p>
                  <w:pPr>
                    <w:jc w:val="center"/>
                    <w:rPr>
                      <w:szCs w:val="21"/>
                    </w:rPr>
                  </w:pPr>
                  <w:r>
                    <w:rPr>
                      <w:szCs w:val="21"/>
                    </w:rPr>
                    <w:t>2018</w:t>
                  </w:r>
                  <w:r>
                    <w:rPr>
                      <w:rFonts w:hAnsi="宋体"/>
                      <w:szCs w:val="21"/>
                    </w:rPr>
                    <w:t>年</w:t>
                  </w:r>
                  <w:r>
                    <w:rPr>
                      <w:rFonts w:hint="eastAsia"/>
                      <w:szCs w:val="21"/>
                    </w:rPr>
                    <w:t>8</w:t>
                  </w:r>
                  <w:r>
                    <w:rPr>
                      <w:rFonts w:hAnsi="宋体"/>
                      <w:szCs w:val="21"/>
                    </w:rPr>
                    <w:t>月至今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75" w:type="dxa"/>
                  <w:vAlign w:val="center"/>
                </w:tcPr>
                <w:p>
                  <w:pPr>
                    <w:jc w:val="center"/>
                    <w:rPr>
                      <w:szCs w:val="21"/>
                    </w:rPr>
                  </w:pPr>
                  <w:r>
                    <w:rPr>
                      <w:szCs w:val="21"/>
                    </w:rPr>
                    <w:t>8</w:t>
                  </w:r>
                </w:p>
              </w:tc>
              <w:tc>
                <w:tcPr>
                  <w:tcW w:w="2127" w:type="dxa"/>
                  <w:vAlign w:val="center"/>
                </w:tcPr>
                <w:p>
                  <w:pPr>
                    <w:jc w:val="center"/>
                    <w:rPr>
                      <w:szCs w:val="21"/>
                    </w:rPr>
                  </w:pPr>
                  <w:r>
                    <w:rPr>
                      <w:rFonts w:hAnsi="宋体"/>
                      <w:szCs w:val="21"/>
                    </w:rPr>
                    <w:t>工程实际建设情况</w:t>
                  </w:r>
                </w:p>
              </w:tc>
              <w:tc>
                <w:tcPr>
                  <w:tcW w:w="5720" w:type="dxa"/>
                  <w:vAlign w:val="center"/>
                </w:tcPr>
                <w:p>
                  <w:pPr>
                    <w:jc w:val="center"/>
                    <w:rPr>
                      <w:szCs w:val="21"/>
                    </w:rPr>
                  </w:pPr>
                  <w:r>
                    <w:rPr>
                      <w:rFonts w:hAnsi="宋体"/>
                      <w:szCs w:val="21"/>
                    </w:rPr>
                    <w:t>项目主体工程及环保治理设施已投入运行，目前具备年产汽车用冷间锻造零件</w:t>
                  </w:r>
                  <w:r>
                    <w:rPr>
                      <w:rFonts w:hint="eastAsia" w:hAnsi="宋体"/>
                      <w:szCs w:val="21"/>
                    </w:rPr>
                    <w:t>120万个、柴油机及汽油机燃油喷射装置600万套、汽车</w:t>
                  </w:r>
                  <w:r>
                    <w:rPr>
                      <w:rFonts w:hAnsi="宋体"/>
                      <w:szCs w:val="21"/>
                    </w:rPr>
                    <w:t>用继电器零件</w:t>
                  </w:r>
                  <w:r>
                    <w:rPr>
                      <w:rFonts w:hint="eastAsia" w:hAnsi="宋体"/>
                      <w:szCs w:val="21"/>
                    </w:rPr>
                    <w:t>160万套、自行车用刹车零部件480万套、冷、热间锻造用金属模具1667公斤、机械零件不锈钢零件80万个</w:t>
                  </w:r>
                  <w:r>
                    <w:rPr>
                      <w:rFonts w:hAnsi="宋体"/>
                      <w:szCs w:val="21"/>
                    </w:rPr>
                    <w:t>的生产能力</w:t>
                  </w:r>
                </w:p>
              </w:tc>
            </w:tr>
          </w:tbl>
          <w:p>
            <w:pPr>
              <w:spacing w:line="360" w:lineRule="auto"/>
              <w:ind w:right="25" w:rightChars="12" w:firstLine="480" w:firstLineChars="200"/>
              <w:rPr>
                <w:b/>
                <w:sz w:val="24"/>
              </w:rPr>
            </w:pPr>
            <w:r>
              <w:rPr>
                <w:rFonts w:eastAsiaTheme="minorEastAsia"/>
                <w:sz w:val="24"/>
              </w:rPr>
              <w:t>根据</w:t>
            </w:r>
            <w:r>
              <w:rPr>
                <w:rFonts w:eastAsiaTheme="minorEastAsia"/>
                <w:bCs/>
                <w:sz w:val="24"/>
              </w:rPr>
              <w:t>丰臣（常州）热处理有限公司</w:t>
            </w:r>
            <w:r>
              <w:rPr>
                <w:rFonts w:eastAsiaTheme="minorEastAsia"/>
                <w:sz w:val="24"/>
              </w:rPr>
              <w:t>的实际建设情况，结合环评、批复等文件，确定</w:t>
            </w:r>
            <w:r>
              <w:rPr>
                <w:rFonts w:eastAsiaTheme="minorEastAsia"/>
                <w:b/>
                <w:sz w:val="24"/>
              </w:rPr>
              <w:t>本次验收为分期验收</w:t>
            </w:r>
            <w:r>
              <w:rPr>
                <w:rFonts w:hint="eastAsia" w:eastAsiaTheme="minorEastAsia"/>
                <w:sz w:val="24"/>
              </w:rPr>
              <w:t>，</w:t>
            </w:r>
            <w:r>
              <w:rPr>
                <w:rFonts w:eastAsiaTheme="minorEastAsia"/>
                <w:sz w:val="24"/>
              </w:rPr>
              <w:t>本次验收监测范围为年产汽车用冷间锻造零件</w:t>
            </w:r>
            <w:r>
              <w:rPr>
                <w:rFonts w:hint="eastAsia" w:eastAsiaTheme="minorEastAsia"/>
                <w:sz w:val="24"/>
              </w:rPr>
              <w:t>120万个、柴油机及汽油机燃油喷射装置600万套、汽车</w:t>
            </w:r>
            <w:r>
              <w:rPr>
                <w:rFonts w:eastAsiaTheme="minorEastAsia"/>
                <w:sz w:val="24"/>
              </w:rPr>
              <w:t>用继电器零件</w:t>
            </w:r>
            <w:r>
              <w:rPr>
                <w:rFonts w:hint="eastAsia" w:eastAsiaTheme="minorEastAsia"/>
                <w:sz w:val="24"/>
              </w:rPr>
              <w:t>160万套、自行车用刹车零部件480万套、冷、热间锻造用金属模具1667公斤、机械零件不锈钢零件80万个</w:t>
            </w:r>
            <w:r>
              <w:rPr>
                <w:rFonts w:eastAsiaTheme="minorEastAsia"/>
                <w:sz w:val="24"/>
              </w:rPr>
              <w:t>的生产能力和配套设备。项目主体工程见表2-</w:t>
            </w:r>
            <w:r>
              <w:rPr>
                <w:rFonts w:hint="eastAsia" w:eastAsiaTheme="minorEastAsia"/>
                <w:sz w:val="24"/>
              </w:rPr>
              <w:t>2</w:t>
            </w:r>
            <w:r>
              <w:rPr>
                <w:rFonts w:eastAsiaTheme="minorEastAsia"/>
                <w:sz w:val="24"/>
              </w:rPr>
              <w:t>、</w:t>
            </w:r>
            <w:r>
              <w:rPr>
                <w:rFonts w:eastAsiaTheme="minorEastAsia"/>
                <w:bCs/>
                <w:sz w:val="24"/>
              </w:rPr>
              <w:t>项目公用及环保工程建设内容</w:t>
            </w:r>
            <w:r>
              <w:rPr>
                <w:rFonts w:eastAsiaTheme="minorEastAsia"/>
                <w:sz w:val="24"/>
              </w:rPr>
              <w:t>见表2-</w:t>
            </w:r>
            <w:r>
              <w:rPr>
                <w:rFonts w:hint="eastAsia" w:eastAsiaTheme="minorEastAsia"/>
                <w:sz w:val="24"/>
              </w:rPr>
              <w:t>3</w:t>
            </w:r>
            <w:r>
              <w:rPr>
                <w:rFonts w:eastAsiaTheme="minorEastAsia"/>
                <w:sz w:val="24"/>
              </w:rPr>
              <w:t>、</w:t>
            </w:r>
            <w:r>
              <w:rPr>
                <w:rFonts w:eastAsiaTheme="minorEastAsia"/>
                <w:bCs/>
                <w:sz w:val="24"/>
              </w:rPr>
              <w:t>主要生产设备见表2-</w:t>
            </w:r>
            <w:r>
              <w:rPr>
                <w:rFonts w:hint="eastAsia" w:eastAsiaTheme="minorEastAsia"/>
                <w:bCs/>
                <w:sz w:val="24"/>
              </w:rPr>
              <w:t>4</w:t>
            </w:r>
            <w:r>
              <w:rPr>
                <w:rFonts w:eastAsiaTheme="minorEastAsia"/>
                <w:bCs/>
                <w:sz w:val="24"/>
              </w:rPr>
              <w:t>。</w:t>
            </w:r>
          </w:p>
          <w:p>
            <w:pPr>
              <w:ind w:right="25" w:rightChars="12"/>
              <w:jc w:val="center"/>
              <w:rPr>
                <w:b/>
                <w:sz w:val="24"/>
              </w:rPr>
            </w:pPr>
            <w:r>
              <w:rPr>
                <w:b/>
                <w:sz w:val="24"/>
              </w:rPr>
              <w:t>表2-</w:t>
            </w:r>
            <w:r>
              <w:rPr>
                <w:rFonts w:hint="eastAsia"/>
                <w:b/>
                <w:sz w:val="24"/>
              </w:rPr>
              <w:t>2</w:t>
            </w:r>
            <w:r>
              <w:rPr>
                <w:b/>
                <w:sz w:val="24"/>
              </w:rPr>
              <w:t xml:space="preserve">  本项目主体工程一览表</w:t>
            </w:r>
          </w:p>
          <w:tbl>
            <w:tblPr>
              <w:tblStyle w:val="18"/>
              <w:tblW w:w="85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64"/>
              <w:gridCol w:w="2410"/>
              <w:gridCol w:w="1417"/>
              <w:gridCol w:w="1559"/>
              <w:gridCol w:w="1418"/>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Align w:val="center"/>
                </w:tcPr>
                <w:p>
                  <w:pPr>
                    <w:jc w:val="center"/>
                    <w:rPr>
                      <w:b/>
                      <w:bCs/>
                      <w:szCs w:val="21"/>
                    </w:rPr>
                  </w:pPr>
                  <w:r>
                    <w:rPr>
                      <w:rFonts w:hAnsi="宋体"/>
                      <w:b/>
                      <w:bCs/>
                      <w:szCs w:val="21"/>
                    </w:rPr>
                    <w:t>工程名称</w:t>
                  </w:r>
                </w:p>
              </w:tc>
              <w:tc>
                <w:tcPr>
                  <w:tcW w:w="2410" w:type="dxa"/>
                  <w:vAlign w:val="center"/>
                </w:tcPr>
                <w:p>
                  <w:pPr>
                    <w:jc w:val="center"/>
                    <w:rPr>
                      <w:b/>
                      <w:bCs/>
                      <w:szCs w:val="21"/>
                    </w:rPr>
                  </w:pPr>
                  <w:r>
                    <w:rPr>
                      <w:rFonts w:hAnsi="宋体"/>
                      <w:b/>
                      <w:bCs/>
                      <w:szCs w:val="21"/>
                    </w:rPr>
                    <w:t>产品名称</w:t>
                  </w:r>
                </w:p>
              </w:tc>
              <w:tc>
                <w:tcPr>
                  <w:tcW w:w="1417" w:type="dxa"/>
                  <w:vAlign w:val="center"/>
                </w:tcPr>
                <w:p>
                  <w:pPr>
                    <w:jc w:val="center"/>
                    <w:rPr>
                      <w:b/>
                      <w:bCs/>
                      <w:szCs w:val="21"/>
                    </w:rPr>
                  </w:pPr>
                  <w:r>
                    <w:rPr>
                      <w:rFonts w:hAnsi="宋体"/>
                      <w:b/>
                      <w:bCs/>
                      <w:szCs w:val="21"/>
                    </w:rPr>
                    <w:t>设计生产能力</w:t>
                  </w:r>
                </w:p>
              </w:tc>
              <w:tc>
                <w:tcPr>
                  <w:tcW w:w="1559" w:type="dxa"/>
                  <w:vAlign w:val="center"/>
                </w:tcPr>
                <w:p>
                  <w:pPr>
                    <w:jc w:val="center"/>
                    <w:rPr>
                      <w:b/>
                      <w:bCs/>
                      <w:szCs w:val="21"/>
                    </w:rPr>
                  </w:pPr>
                  <w:r>
                    <w:rPr>
                      <w:rFonts w:hAnsi="宋体"/>
                      <w:b/>
                      <w:bCs/>
                      <w:szCs w:val="21"/>
                    </w:rPr>
                    <w:t>实际生产能力</w:t>
                  </w:r>
                </w:p>
              </w:tc>
              <w:tc>
                <w:tcPr>
                  <w:tcW w:w="1418" w:type="dxa"/>
                  <w:vAlign w:val="center"/>
                </w:tcPr>
                <w:p>
                  <w:pPr>
                    <w:jc w:val="center"/>
                    <w:rPr>
                      <w:b/>
                      <w:bCs/>
                      <w:szCs w:val="21"/>
                    </w:rPr>
                  </w:pPr>
                  <w:r>
                    <w:rPr>
                      <w:rFonts w:hAnsi="宋体"/>
                      <w:b/>
                      <w:bCs/>
                      <w:szCs w:val="21"/>
                    </w:rPr>
                    <w:t>年运行时间</w:t>
                  </w:r>
                </w:p>
              </w:tc>
              <w:tc>
                <w:tcPr>
                  <w:tcW w:w="763" w:type="dxa"/>
                  <w:vAlign w:val="center"/>
                </w:tcPr>
                <w:p>
                  <w:pPr>
                    <w:jc w:val="center"/>
                    <w:rPr>
                      <w:b/>
                      <w:bCs/>
                      <w:szCs w:val="21"/>
                    </w:rPr>
                  </w:pPr>
                  <w:r>
                    <w:rPr>
                      <w:rFonts w:hAnsi="宋体"/>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Merge w:val="restart"/>
                  <w:vAlign w:val="center"/>
                </w:tcPr>
                <w:p>
                  <w:pPr>
                    <w:jc w:val="center"/>
                    <w:rPr>
                      <w:szCs w:val="21"/>
                    </w:rPr>
                  </w:pPr>
                  <w:r>
                    <w:rPr>
                      <w:rFonts w:hint="eastAsia" w:hAnsi="宋体"/>
                      <w:szCs w:val="21"/>
                    </w:rPr>
                    <w:t>深</w:t>
                  </w:r>
                  <w:r>
                    <w:rPr>
                      <w:rFonts w:hAnsi="宋体"/>
                      <w:szCs w:val="21"/>
                    </w:rPr>
                    <w:t>冷热处理线</w:t>
                  </w:r>
                </w:p>
              </w:tc>
              <w:tc>
                <w:tcPr>
                  <w:tcW w:w="2410" w:type="dxa"/>
                  <w:vAlign w:val="center"/>
                </w:tcPr>
                <w:p>
                  <w:pPr>
                    <w:jc w:val="center"/>
                    <w:rPr>
                      <w:rFonts w:hAnsi="宋体"/>
                      <w:szCs w:val="21"/>
                    </w:rPr>
                  </w:pPr>
                  <w:r>
                    <w:rPr>
                      <w:rFonts w:hAnsi="宋体"/>
                      <w:szCs w:val="21"/>
                    </w:rPr>
                    <w:t>汽车用冷间锻造零件</w:t>
                  </w:r>
                </w:p>
              </w:tc>
              <w:tc>
                <w:tcPr>
                  <w:tcW w:w="1417" w:type="dxa"/>
                  <w:tcBorders>
                    <w:top w:val="single" w:color="auto" w:sz="4" w:space="0"/>
                    <w:bottom w:val="single" w:color="auto" w:sz="4" w:space="0"/>
                  </w:tcBorders>
                  <w:vAlign w:val="center"/>
                </w:tcPr>
                <w:p>
                  <w:pPr>
                    <w:jc w:val="center"/>
                    <w:rPr>
                      <w:rFonts w:hAnsi="宋体"/>
                      <w:szCs w:val="21"/>
                    </w:rPr>
                  </w:pPr>
                  <w:r>
                    <w:rPr>
                      <w:rFonts w:hint="eastAsia" w:hAnsi="宋体"/>
                      <w:szCs w:val="21"/>
                    </w:rPr>
                    <w:t>180万个/年</w:t>
                  </w:r>
                </w:p>
              </w:tc>
              <w:tc>
                <w:tcPr>
                  <w:tcW w:w="1559" w:type="dxa"/>
                  <w:tcBorders>
                    <w:top w:val="single" w:color="auto" w:sz="4" w:space="0"/>
                    <w:bottom w:val="single" w:color="auto" w:sz="4" w:space="0"/>
                  </w:tcBorders>
                  <w:vAlign w:val="center"/>
                </w:tcPr>
                <w:p>
                  <w:pPr>
                    <w:jc w:val="center"/>
                    <w:rPr>
                      <w:rFonts w:hAnsi="宋体"/>
                      <w:szCs w:val="21"/>
                    </w:rPr>
                  </w:pPr>
                  <w:r>
                    <w:rPr>
                      <w:rFonts w:hint="eastAsia" w:hAnsi="宋体"/>
                      <w:szCs w:val="21"/>
                    </w:rPr>
                    <w:t>120万个/年</w:t>
                  </w:r>
                </w:p>
              </w:tc>
              <w:tc>
                <w:tcPr>
                  <w:tcW w:w="1418" w:type="dxa"/>
                  <w:vMerge w:val="restart"/>
                  <w:vAlign w:val="center"/>
                </w:tcPr>
                <w:p>
                  <w:pPr>
                    <w:jc w:val="center"/>
                    <w:rPr>
                      <w:szCs w:val="21"/>
                    </w:rPr>
                  </w:pPr>
                  <w:r>
                    <w:rPr>
                      <w:szCs w:val="21"/>
                    </w:rPr>
                    <w:t>7200h</w:t>
                  </w:r>
                </w:p>
              </w:tc>
              <w:tc>
                <w:tcPr>
                  <w:tcW w:w="763" w:type="dxa"/>
                  <w:vMerge w:val="restart"/>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Merge w:val="continue"/>
                  <w:vAlign w:val="center"/>
                </w:tcPr>
                <w:p>
                  <w:pPr>
                    <w:jc w:val="center"/>
                    <w:rPr>
                      <w:rFonts w:hAnsi="宋体"/>
                      <w:szCs w:val="21"/>
                    </w:rPr>
                  </w:pPr>
                </w:p>
              </w:tc>
              <w:tc>
                <w:tcPr>
                  <w:tcW w:w="2410" w:type="dxa"/>
                  <w:vAlign w:val="center"/>
                </w:tcPr>
                <w:p>
                  <w:pPr>
                    <w:jc w:val="center"/>
                    <w:rPr>
                      <w:rFonts w:hAnsi="宋体"/>
                      <w:szCs w:val="21"/>
                    </w:rPr>
                  </w:pPr>
                  <w:r>
                    <w:rPr>
                      <w:rFonts w:hint="eastAsia" w:hAnsi="宋体"/>
                      <w:szCs w:val="21"/>
                    </w:rPr>
                    <w:t>柴油机及汽油机燃油喷射装置</w:t>
                  </w:r>
                </w:p>
              </w:tc>
              <w:tc>
                <w:tcPr>
                  <w:tcW w:w="1417" w:type="dxa"/>
                  <w:tcBorders>
                    <w:top w:val="single" w:color="auto" w:sz="4" w:space="0"/>
                    <w:bottom w:val="single" w:color="auto" w:sz="4" w:space="0"/>
                  </w:tcBorders>
                  <w:vAlign w:val="center"/>
                </w:tcPr>
                <w:p>
                  <w:pPr>
                    <w:jc w:val="center"/>
                    <w:rPr>
                      <w:rFonts w:hAnsi="宋体"/>
                      <w:szCs w:val="21"/>
                    </w:rPr>
                  </w:pPr>
                  <w:r>
                    <w:rPr>
                      <w:rFonts w:hint="eastAsia" w:hAnsi="宋体"/>
                      <w:szCs w:val="21"/>
                    </w:rPr>
                    <w:t>900万套/年</w:t>
                  </w:r>
                </w:p>
              </w:tc>
              <w:tc>
                <w:tcPr>
                  <w:tcW w:w="1559" w:type="dxa"/>
                  <w:tcBorders>
                    <w:top w:val="single" w:color="auto" w:sz="4" w:space="0"/>
                    <w:bottom w:val="single" w:color="auto" w:sz="4" w:space="0"/>
                  </w:tcBorders>
                  <w:vAlign w:val="center"/>
                </w:tcPr>
                <w:p>
                  <w:pPr>
                    <w:jc w:val="center"/>
                    <w:rPr>
                      <w:rFonts w:hAnsi="宋体"/>
                      <w:szCs w:val="21"/>
                    </w:rPr>
                  </w:pPr>
                  <w:r>
                    <w:rPr>
                      <w:rFonts w:hint="eastAsia" w:hAnsi="宋体"/>
                      <w:szCs w:val="21"/>
                    </w:rPr>
                    <w:t>600万套/年</w:t>
                  </w:r>
                </w:p>
              </w:tc>
              <w:tc>
                <w:tcPr>
                  <w:tcW w:w="1418" w:type="dxa"/>
                  <w:vMerge w:val="continue"/>
                  <w:vAlign w:val="center"/>
                </w:tcPr>
                <w:p>
                  <w:pPr>
                    <w:jc w:val="center"/>
                    <w:rPr>
                      <w:szCs w:val="21"/>
                    </w:rPr>
                  </w:pPr>
                </w:p>
              </w:tc>
              <w:tc>
                <w:tcPr>
                  <w:tcW w:w="76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Merge w:val="continue"/>
                  <w:vAlign w:val="center"/>
                </w:tcPr>
                <w:p>
                  <w:pPr>
                    <w:jc w:val="center"/>
                    <w:rPr>
                      <w:rFonts w:hAnsi="宋体"/>
                      <w:szCs w:val="21"/>
                    </w:rPr>
                  </w:pPr>
                </w:p>
              </w:tc>
              <w:tc>
                <w:tcPr>
                  <w:tcW w:w="2410" w:type="dxa"/>
                  <w:vAlign w:val="center"/>
                </w:tcPr>
                <w:p>
                  <w:pPr>
                    <w:jc w:val="center"/>
                    <w:rPr>
                      <w:rFonts w:hAnsi="宋体"/>
                      <w:szCs w:val="21"/>
                    </w:rPr>
                  </w:pPr>
                  <w:r>
                    <w:rPr>
                      <w:rFonts w:hint="eastAsia" w:hAnsi="宋体"/>
                      <w:szCs w:val="21"/>
                    </w:rPr>
                    <w:t>自行车用刹车零部件</w:t>
                  </w:r>
                </w:p>
              </w:tc>
              <w:tc>
                <w:tcPr>
                  <w:tcW w:w="1417" w:type="dxa"/>
                  <w:tcBorders>
                    <w:top w:val="single" w:color="auto" w:sz="4" w:space="0"/>
                    <w:bottom w:val="single" w:color="auto" w:sz="4" w:space="0"/>
                  </w:tcBorders>
                  <w:vAlign w:val="center"/>
                </w:tcPr>
                <w:p>
                  <w:pPr>
                    <w:jc w:val="center"/>
                    <w:rPr>
                      <w:rFonts w:hAnsi="宋体"/>
                      <w:szCs w:val="21"/>
                    </w:rPr>
                  </w:pPr>
                  <w:r>
                    <w:rPr>
                      <w:rFonts w:hint="eastAsia" w:hAnsi="宋体"/>
                      <w:szCs w:val="21"/>
                    </w:rPr>
                    <w:t>720万套/年</w:t>
                  </w:r>
                </w:p>
              </w:tc>
              <w:tc>
                <w:tcPr>
                  <w:tcW w:w="1559" w:type="dxa"/>
                  <w:tcBorders>
                    <w:top w:val="single" w:color="auto" w:sz="4" w:space="0"/>
                    <w:bottom w:val="single" w:color="auto" w:sz="4" w:space="0"/>
                  </w:tcBorders>
                  <w:vAlign w:val="center"/>
                </w:tcPr>
                <w:p>
                  <w:pPr>
                    <w:jc w:val="center"/>
                    <w:rPr>
                      <w:rFonts w:hAnsi="宋体"/>
                      <w:szCs w:val="21"/>
                    </w:rPr>
                  </w:pPr>
                  <w:r>
                    <w:rPr>
                      <w:rFonts w:hint="eastAsia" w:hAnsi="宋体"/>
                      <w:szCs w:val="21"/>
                    </w:rPr>
                    <w:t>480万套/年</w:t>
                  </w:r>
                </w:p>
              </w:tc>
              <w:tc>
                <w:tcPr>
                  <w:tcW w:w="1418" w:type="dxa"/>
                  <w:vMerge w:val="continue"/>
                  <w:vAlign w:val="center"/>
                </w:tcPr>
                <w:p>
                  <w:pPr>
                    <w:jc w:val="center"/>
                    <w:rPr>
                      <w:szCs w:val="21"/>
                    </w:rPr>
                  </w:pPr>
                </w:p>
              </w:tc>
              <w:tc>
                <w:tcPr>
                  <w:tcW w:w="76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Merge w:val="continue"/>
                  <w:vAlign w:val="center"/>
                </w:tcPr>
                <w:p>
                  <w:pPr>
                    <w:jc w:val="center"/>
                    <w:rPr>
                      <w:rFonts w:hAnsi="宋体"/>
                      <w:szCs w:val="21"/>
                    </w:rPr>
                  </w:pPr>
                </w:p>
              </w:tc>
              <w:tc>
                <w:tcPr>
                  <w:tcW w:w="2410" w:type="dxa"/>
                  <w:vAlign w:val="center"/>
                </w:tcPr>
                <w:p>
                  <w:pPr>
                    <w:jc w:val="center"/>
                    <w:rPr>
                      <w:rFonts w:hAnsi="宋体"/>
                      <w:szCs w:val="21"/>
                    </w:rPr>
                  </w:pPr>
                  <w:r>
                    <w:rPr>
                      <w:rFonts w:hint="eastAsia" w:hAnsi="宋体"/>
                      <w:szCs w:val="21"/>
                    </w:rPr>
                    <w:t>冷、热间锻造用金属模具</w:t>
                  </w:r>
                </w:p>
              </w:tc>
              <w:tc>
                <w:tcPr>
                  <w:tcW w:w="1417" w:type="dxa"/>
                  <w:tcBorders>
                    <w:top w:val="single" w:color="auto" w:sz="4" w:space="0"/>
                    <w:bottom w:val="single" w:color="auto" w:sz="4" w:space="0"/>
                  </w:tcBorders>
                  <w:vAlign w:val="center"/>
                </w:tcPr>
                <w:p>
                  <w:pPr>
                    <w:jc w:val="center"/>
                    <w:rPr>
                      <w:rFonts w:hAnsi="宋体"/>
                      <w:szCs w:val="21"/>
                    </w:rPr>
                  </w:pPr>
                  <w:r>
                    <w:rPr>
                      <w:rFonts w:hint="eastAsia" w:hAnsi="宋体"/>
                      <w:szCs w:val="21"/>
                    </w:rPr>
                    <w:t>2500公斤/年</w:t>
                  </w:r>
                </w:p>
              </w:tc>
              <w:tc>
                <w:tcPr>
                  <w:tcW w:w="1559" w:type="dxa"/>
                  <w:tcBorders>
                    <w:top w:val="single" w:color="auto" w:sz="4" w:space="0"/>
                    <w:bottom w:val="single" w:color="auto" w:sz="4" w:space="0"/>
                  </w:tcBorders>
                  <w:vAlign w:val="center"/>
                </w:tcPr>
                <w:p>
                  <w:pPr>
                    <w:jc w:val="center"/>
                    <w:rPr>
                      <w:rFonts w:hAnsi="宋体"/>
                      <w:szCs w:val="21"/>
                    </w:rPr>
                  </w:pPr>
                  <w:r>
                    <w:rPr>
                      <w:rFonts w:hint="eastAsia" w:hAnsi="宋体"/>
                      <w:szCs w:val="21"/>
                    </w:rPr>
                    <w:t>1667公斤/年</w:t>
                  </w:r>
                </w:p>
              </w:tc>
              <w:tc>
                <w:tcPr>
                  <w:tcW w:w="1418" w:type="dxa"/>
                  <w:vMerge w:val="continue"/>
                  <w:vAlign w:val="center"/>
                </w:tcPr>
                <w:p>
                  <w:pPr>
                    <w:jc w:val="center"/>
                    <w:rPr>
                      <w:szCs w:val="21"/>
                    </w:rPr>
                  </w:pPr>
                </w:p>
              </w:tc>
              <w:tc>
                <w:tcPr>
                  <w:tcW w:w="76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Merge w:val="continue"/>
                  <w:vAlign w:val="center"/>
                </w:tcPr>
                <w:p>
                  <w:pPr>
                    <w:jc w:val="center"/>
                    <w:rPr>
                      <w:rFonts w:hAnsi="宋体"/>
                      <w:szCs w:val="21"/>
                    </w:rPr>
                  </w:pPr>
                </w:p>
              </w:tc>
              <w:tc>
                <w:tcPr>
                  <w:tcW w:w="2410" w:type="dxa"/>
                  <w:vAlign w:val="center"/>
                </w:tcPr>
                <w:p>
                  <w:pPr>
                    <w:jc w:val="center"/>
                    <w:rPr>
                      <w:rFonts w:hAnsi="宋体"/>
                      <w:szCs w:val="21"/>
                    </w:rPr>
                  </w:pPr>
                  <w:r>
                    <w:rPr>
                      <w:rFonts w:hint="eastAsia" w:hAnsi="宋体"/>
                      <w:szCs w:val="21"/>
                    </w:rPr>
                    <w:t>机械零件不锈钢零件</w:t>
                  </w:r>
                </w:p>
              </w:tc>
              <w:tc>
                <w:tcPr>
                  <w:tcW w:w="1417" w:type="dxa"/>
                  <w:tcBorders>
                    <w:top w:val="single" w:color="auto" w:sz="4" w:space="0"/>
                    <w:bottom w:val="single" w:color="auto" w:sz="4" w:space="0"/>
                  </w:tcBorders>
                  <w:vAlign w:val="center"/>
                </w:tcPr>
                <w:p>
                  <w:pPr>
                    <w:jc w:val="center"/>
                    <w:rPr>
                      <w:rFonts w:hAnsi="宋体"/>
                      <w:szCs w:val="21"/>
                    </w:rPr>
                  </w:pPr>
                  <w:r>
                    <w:rPr>
                      <w:rFonts w:hint="eastAsia" w:hAnsi="宋体"/>
                      <w:szCs w:val="21"/>
                    </w:rPr>
                    <w:t>120万个/年</w:t>
                  </w:r>
                </w:p>
              </w:tc>
              <w:tc>
                <w:tcPr>
                  <w:tcW w:w="1559" w:type="dxa"/>
                  <w:tcBorders>
                    <w:top w:val="single" w:color="auto" w:sz="4" w:space="0"/>
                    <w:bottom w:val="single" w:color="auto" w:sz="4" w:space="0"/>
                  </w:tcBorders>
                  <w:vAlign w:val="center"/>
                </w:tcPr>
                <w:p>
                  <w:pPr>
                    <w:jc w:val="center"/>
                    <w:rPr>
                      <w:rFonts w:hAnsi="宋体"/>
                      <w:szCs w:val="21"/>
                    </w:rPr>
                  </w:pPr>
                  <w:r>
                    <w:rPr>
                      <w:rFonts w:hint="eastAsia" w:hAnsi="宋体"/>
                      <w:szCs w:val="21"/>
                    </w:rPr>
                    <w:t>80万个/年</w:t>
                  </w:r>
                </w:p>
              </w:tc>
              <w:tc>
                <w:tcPr>
                  <w:tcW w:w="1418" w:type="dxa"/>
                  <w:vMerge w:val="continue"/>
                  <w:vAlign w:val="center"/>
                </w:tcPr>
                <w:p>
                  <w:pPr>
                    <w:jc w:val="center"/>
                    <w:rPr>
                      <w:szCs w:val="21"/>
                    </w:rPr>
                  </w:pPr>
                </w:p>
              </w:tc>
              <w:tc>
                <w:tcPr>
                  <w:tcW w:w="763"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964" w:type="dxa"/>
                  <w:vAlign w:val="center"/>
                </w:tcPr>
                <w:p>
                  <w:pPr>
                    <w:jc w:val="center"/>
                    <w:rPr>
                      <w:rFonts w:hAnsi="宋体"/>
                      <w:szCs w:val="21"/>
                    </w:rPr>
                  </w:pPr>
                  <w:r>
                    <w:rPr>
                      <w:rFonts w:hAnsi="宋体"/>
                      <w:szCs w:val="21"/>
                    </w:rPr>
                    <w:t>消磁热处理线</w:t>
                  </w:r>
                </w:p>
              </w:tc>
              <w:tc>
                <w:tcPr>
                  <w:tcW w:w="2410" w:type="dxa"/>
                  <w:vAlign w:val="center"/>
                </w:tcPr>
                <w:p>
                  <w:pPr>
                    <w:jc w:val="center"/>
                    <w:rPr>
                      <w:rFonts w:hAnsi="宋体"/>
                      <w:szCs w:val="21"/>
                    </w:rPr>
                  </w:pPr>
                  <w:r>
                    <w:rPr>
                      <w:rFonts w:hAnsi="宋体"/>
                      <w:szCs w:val="21"/>
                    </w:rPr>
                    <w:t>汽车用继电器零件</w:t>
                  </w:r>
                </w:p>
              </w:tc>
              <w:tc>
                <w:tcPr>
                  <w:tcW w:w="1417" w:type="dxa"/>
                  <w:tcBorders>
                    <w:top w:val="single" w:color="auto" w:sz="4" w:space="0"/>
                  </w:tcBorders>
                  <w:vAlign w:val="center"/>
                </w:tcPr>
                <w:p>
                  <w:pPr>
                    <w:jc w:val="center"/>
                    <w:rPr>
                      <w:rFonts w:hAnsi="宋体"/>
                      <w:szCs w:val="21"/>
                    </w:rPr>
                  </w:pPr>
                  <w:r>
                    <w:rPr>
                      <w:rFonts w:hint="eastAsia" w:hAnsi="宋体"/>
                      <w:szCs w:val="21"/>
                    </w:rPr>
                    <w:t>240万套/年</w:t>
                  </w:r>
                </w:p>
              </w:tc>
              <w:tc>
                <w:tcPr>
                  <w:tcW w:w="1559" w:type="dxa"/>
                  <w:tcBorders>
                    <w:top w:val="single" w:color="auto" w:sz="4" w:space="0"/>
                  </w:tcBorders>
                  <w:vAlign w:val="center"/>
                </w:tcPr>
                <w:p>
                  <w:pPr>
                    <w:jc w:val="center"/>
                    <w:rPr>
                      <w:rFonts w:hAnsi="宋体"/>
                      <w:szCs w:val="21"/>
                    </w:rPr>
                  </w:pPr>
                  <w:r>
                    <w:rPr>
                      <w:rFonts w:hint="eastAsia" w:hAnsi="宋体"/>
                      <w:szCs w:val="21"/>
                    </w:rPr>
                    <w:t>160万套/年</w:t>
                  </w:r>
                </w:p>
              </w:tc>
              <w:tc>
                <w:tcPr>
                  <w:tcW w:w="1418" w:type="dxa"/>
                  <w:vMerge w:val="continue"/>
                  <w:vAlign w:val="center"/>
                </w:tcPr>
                <w:p>
                  <w:pPr>
                    <w:jc w:val="center"/>
                    <w:rPr>
                      <w:szCs w:val="21"/>
                    </w:rPr>
                  </w:pPr>
                </w:p>
              </w:tc>
              <w:tc>
                <w:tcPr>
                  <w:tcW w:w="763" w:type="dxa"/>
                  <w:vMerge w:val="continue"/>
                  <w:vAlign w:val="center"/>
                </w:tcPr>
                <w:p>
                  <w:pPr>
                    <w:jc w:val="center"/>
                    <w:rPr>
                      <w:szCs w:val="21"/>
                    </w:rPr>
                  </w:pPr>
                </w:p>
              </w:tc>
            </w:tr>
          </w:tbl>
          <w:p>
            <w:pPr>
              <w:spacing w:beforeLines="50"/>
              <w:jc w:val="center"/>
              <w:rPr>
                <w:bCs/>
                <w:sz w:val="24"/>
              </w:rPr>
            </w:pPr>
            <w:r>
              <w:rPr>
                <w:b/>
                <w:sz w:val="24"/>
              </w:rPr>
              <w:t>表2-</w:t>
            </w:r>
            <w:r>
              <w:rPr>
                <w:rFonts w:hint="eastAsia"/>
                <w:b/>
                <w:sz w:val="24"/>
              </w:rPr>
              <w:t>3</w:t>
            </w:r>
            <w:r>
              <w:rPr>
                <w:b/>
                <w:sz w:val="24"/>
              </w:rPr>
              <w:t xml:space="preserve">  项目公用及环保工程建设内容表</w:t>
            </w:r>
          </w:p>
          <w:tbl>
            <w:tblPr>
              <w:tblStyle w:val="18"/>
              <w:tblW w:w="886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7"/>
              <w:gridCol w:w="419"/>
              <w:gridCol w:w="388"/>
              <w:gridCol w:w="3273"/>
              <w:gridCol w:w="2429"/>
              <w:gridCol w:w="1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274" w:type="dxa"/>
                  <w:gridSpan w:val="3"/>
                  <w:tcBorders>
                    <w:top w:val="single" w:color="auto" w:sz="12" w:space="0"/>
                    <w:bottom w:val="single" w:color="auto" w:sz="4" w:space="0"/>
                  </w:tcBorders>
                  <w:vAlign w:val="center"/>
                </w:tcPr>
                <w:p>
                  <w:pPr>
                    <w:jc w:val="center"/>
                    <w:rPr>
                      <w:b/>
                      <w:bCs/>
                      <w:szCs w:val="21"/>
                    </w:rPr>
                  </w:pPr>
                  <w:r>
                    <w:rPr>
                      <w:rFonts w:hAnsi="宋体"/>
                      <w:b/>
                      <w:bCs/>
                      <w:szCs w:val="21"/>
                    </w:rPr>
                    <w:t>类别</w:t>
                  </w:r>
                </w:p>
              </w:tc>
              <w:tc>
                <w:tcPr>
                  <w:tcW w:w="3273" w:type="dxa"/>
                  <w:tcBorders>
                    <w:top w:val="single" w:color="auto" w:sz="12" w:space="0"/>
                    <w:bottom w:val="single" w:color="auto" w:sz="4" w:space="0"/>
                  </w:tcBorders>
                  <w:vAlign w:val="center"/>
                </w:tcPr>
                <w:p>
                  <w:pPr>
                    <w:jc w:val="center"/>
                    <w:rPr>
                      <w:b/>
                      <w:bCs/>
                      <w:szCs w:val="21"/>
                    </w:rPr>
                  </w:pPr>
                  <w:r>
                    <w:rPr>
                      <w:rFonts w:hAnsi="宋体"/>
                      <w:b/>
                      <w:bCs/>
                      <w:szCs w:val="21"/>
                    </w:rPr>
                    <w:t>环评及批复内容</w:t>
                  </w:r>
                </w:p>
              </w:tc>
              <w:tc>
                <w:tcPr>
                  <w:tcW w:w="2429" w:type="dxa"/>
                  <w:tcBorders>
                    <w:top w:val="single" w:color="auto" w:sz="12" w:space="0"/>
                    <w:bottom w:val="single" w:color="auto" w:sz="4" w:space="0"/>
                  </w:tcBorders>
                  <w:vAlign w:val="center"/>
                </w:tcPr>
                <w:p>
                  <w:pPr>
                    <w:jc w:val="center"/>
                    <w:rPr>
                      <w:rFonts w:hAnsi="宋体"/>
                      <w:b/>
                      <w:bCs/>
                      <w:szCs w:val="21"/>
                    </w:rPr>
                  </w:pPr>
                  <w:r>
                    <w:rPr>
                      <w:rFonts w:hAnsi="宋体"/>
                      <w:b/>
                      <w:bCs/>
                      <w:szCs w:val="21"/>
                    </w:rPr>
                    <w:t>情况说明</w:t>
                  </w:r>
                </w:p>
              </w:tc>
              <w:tc>
                <w:tcPr>
                  <w:tcW w:w="1890" w:type="dxa"/>
                  <w:tcBorders>
                    <w:top w:val="single" w:color="auto" w:sz="12" w:space="0"/>
                    <w:bottom w:val="single" w:color="auto" w:sz="4" w:space="0"/>
                  </w:tcBorders>
                  <w:vAlign w:val="center"/>
                </w:tcPr>
                <w:p>
                  <w:pPr>
                    <w:jc w:val="center"/>
                    <w:rPr>
                      <w:b/>
                      <w:bCs/>
                      <w:szCs w:val="21"/>
                    </w:rPr>
                  </w:pPr>
                  <w:r>
                    <w:rPr>
                      <w:rFonts w:hAnsi="宋体"/>
                      <w:b/>
                      <w:bCs/>
                      <w:szCs w:val="21"/>
                    </w:rPr>
                    <w:t>实际建设内容</w:t>
                  </w:r>
                </w:p>
                <w:p>
                  <w:pPr>
                    <w:jc w:val="center"/>
                    <w:rPr>
                      <w:b/>
                      <w:bCs/>
                      <w:szCs w:val="21"/>
                    </w:rPr>
                  </w:pPr>
                  <w:r>
                    <w:rPr>
                      <w:rFonts w:hAnsi="宋体"/>
                      <w:b/>
                      <w:bCs/>
                      <w:szCs w:val="21"/>
                    </w:rPr>
                    <w:t>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restart"/>
                  <w:tcBorders>
                    <w:top w:val="single" w:color="auto" w:sz="4" w:space="0"/>
                  </w:tcBorders>
                  <w:vAlign w:val="center"/>
                </w:tcPr>
                <w:p>
                  <w:pPr>
                    <w:jc w:val="center"/>
                    <w:rPr>
                      <w:szCs w:val="21"/>
                    </w:rPr>
                  </w:pPr>
                  <w:r>
                    <w:rPr>
                      <w:rFonts w:hAnsi="宋体"/>
                      <w:szCs w:val="21"/>
                    </w:rPr>
                    <w:t>基本情况</w:t>
                  </w:r>
                </w:p>
              </w:tc>
              <w:tc>
                <w:tcPr>
                  <w:tcW w:w="807" w:type="dxa"/>
                  <w:gridSpan w:val="2"/>
                  <w:tcBorders>
                    <w:top w:val="single" w:color="auto" w:sz="4" w:space="0"/>
                  </w:tcBorders>
                  <w:vAlign w:val="center"/>
                </w:tcPr>
                <w:p>
                  <w:pPr>
                    <w:jc w:val="center"/>
                    <w:rPr>
                      <w:rFonts w:hAnsi="宋体"/>
                      <w:szCs w:val="21"/>
                    </w:rPr>
                  </w:pPr>
                  <w:r>
                    <w:rPr>
                      <w:rFonts w:hAnsi="宋体"/>
                      <w:szCs w:val="21"/>
                    </w:rPr>
                    <w:t>建设</w:t>
                  </w:r>
                </w:p>
                <w:p>
                  <w:pPr>
                    <w:jc w:val="center"/>
                    <w:rPr>
                      <w:szCs w:val="21"/>
                    </w:rPr>
                  </w:pPr>
                  <w:r>
                    <w:rPr>
                      <w:rFonts w:hAnsi="宋体"/>
                      <w:szCs w:val="21"/>
                    </w:rPr>
                    <w:t>内容</w:t>
                  </w:r>
                </w:p>
              </w:tc>
              <w:tc>
                <w:tcPr>
                  <w:tcW w:w="3273" w:type="dxa"/>
                  <w:tcBorders>
                    <w:top w:val="single" w:color="auto" w:sz="4" w:space="0"/>
                  </w:tcBorders>
                  <w:vAlign w:val="center"/>
                </w:tcPr>
                <w:p>
                  <w:pPr>
                    <w:jc w:val="center"/>
                    <w:rPr>
                      <w:szCs w:val="21"/>
                    </w:rPr>
                  </w:pPr>
                  <w:r>
                    <w:rPr>
                      <w:rFonts w:hAnsi="宋体"/>
                      <w:szCs w:val="21"/>
                    </w:rPr>
                    <w:t>租赁粤海工业园-常州空港园</w:t>
                  </w:r>
                  <w:r>
                    <w:rPr>
                      <w:rFonts w:hint="eastAsia" w:hAnsi="宋体"/>
                      <w:szCs w:val="21"/>
                    </w:rPr>
                    <w:t>11号厂房AB单元，购置一室真空炉、多式真空炉、回火炉等设备，进行</w:t>
                  </w:r>
                  <w:r>
                    <w:rPr>
                      <w:rFonts w:hAnsi="宋体"/>
                      <w:szCs w:val="21"/>
                    </w:rPr>
                    <w:t>新建金属制品热处理加工项目</w:t>
                  </w:r>
                </w:p>
              </w:tc>
              <w:tc>
                <w:tcPr>
                  <w:tcW w:w="2429" w:type="dxa"/>
                  <w:tcBorders>
                    <w:top w:val="single" w:color="auto" w:sz="4" w:space="0"/>
                  </w:tcBorders>
                  <w:vAlign w:val="center"/>
                </w:tcPr>
                <w:p>
                  <w:pPr>
                    <w:jc w:val="center"/>
                    <w:rPr>
                      <w:rFonts w:hAnsi="宋体"/>
                      <w:szCs w:val="21"/>
                    </w:rPr>
                  </w:pPr>
                  <w:r>
                    <w:rPr>
                      <w:rFonts w:hint="eastAsia" w:hAnsi="宋体"/>
                      <w:szCs w:val="21"/>
                    </w:rPr>
                    <w:t>/</w:t>
                  </w:r>
                </w:p>
              </w:tc>
              <w:tc>
                <w:tcPr>
                  <w:tcW w:w="1890" w:type="dxa"/>
                  <w:tcBorders>
                    <w:top w:val="single" w:color="auto" w:sz="4" w:space="0"/>
                  </w:tcBorders>
                  <w:vAlign w:val="center"/>
                </w:tcPr>
                <w:p>
                  <w:pPr>
                    <w:jc w:val="center"/>
                    <w:rPr>
                      <w:szCs w:val="21"/>
                    </w:rPr>
                  </w:pPr>
                  <w:r>
                    <w:rPr>
                      <w:rFonts w:hAnsi="宋体"/>
                      <w:szCs w:val="21"/>
                    </w:rPr>
                    <w:t>与环评</w:t>
                  </w:r>
                  <w:r>
                    <w:rPr>
                      <w:szCs w:val="21"/>
                    </w:rPr>
                    <w:t>/</w:t>
                  </w:r>
                  <w:r>
                    <w:rPr>
                      <w:rFonts w:hAnsi="宋体"/>
                      <w:szCs w:val="21"/>
                    </w:rPr>
                    <w:t>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continue"/>
                  <w:vAlign w:val="center"/>
                </w:tcPr>
                <w:p>
                  <w:pPr>
                    <w:jc w:val="center"/>
                    <w:rPr>
                      <w:szCs w:val="21"/>
                    </w:rPr>
                  </w:pPr>
                </w:p>
              </w:tc>
              <w:tc>
                <w:tcPr>
                  <w:tcW w:w="807" w:type="dxa"/>
                  <w:gridSpan w:val="2"/>
                  <w:tcBorders>
                    <w:top w:val="single" w:color="auto" w:sz="4" w:space="0"/>
                  </w:tcBorders>
                  <w:vAlign w:val="center"/>
                </w:tcPr>
                <w:p>
                  <w:pPr>
                    <w:jc w:val="center"/>
                    <w:rPr>
                      <w:rFonts w:hAnsi="宋体"/>
                      <w:szCs w:val="21"/>
                    </w:rPr>
                  </w:pPr>
                  <w:r>
                    <w:rPr>
                      <w:rFonts w:hAnsi="宋体"/>
                      <w:szCs w:val="21"/>
                    </w:rPr>
                    <w:t>产品</w:t>
                  </w:r>
                </w:p>
                <w:p>
                  <w:pPr>
                    <w:jc w:val="center"/>
                    <w:rPr>
                      <w:szCs w:val="21"/>
                    </w:rPr>
                  </w:pPr>
                  <w:r>
                    <w:rPr>
                      <w:rFonts w:hAnsi="宋体"/>
                      <w:szCs w:val="21"/>
                    </w:rPr>
                    <w:t>规模</w:t>
                  </w:r>
                </w:p>
              </w:tc>
              <w:tc>
                <w:tcPr>
                  <w:tcW w:w="3273" w:type="dxa"/>
                  <w:tcBorders>
                    <w:top w:val="single" w:color="auto" w:sz="4" w:space="0"/>
                  </w:tcBorders>
                  <w:vAlign w:val="center"/>
                </w:tcPr>
                <w:p>
                  <w:pPr>
                    <w:jc w:val="center"/>
                    <w:rPr>
                      <w:szCs w:val="21"/>
                    </w:rPr>
                  </w:pPr>
                  <w:r>
                    <w:rPr>
                      <w:rFonts w:hAnsi="宋体"/>
                      <w:szCs w:val="21"/>
                    </w:rPr>
                    <w:t>年产汽车用冷间锻造零件</w:t>
                  </w:r>
                  <w:r>
                    <w:rPr>
                      <w:rFonts w:hint="eastAsia" w:hAnsi="宋体"/>
                      <w:szCs w:val="21"/>
                    </w:rPr>
                    <w:t>180万个、柴油机及汽油机燃油喷射装置900万套、</w:t>
                  </w:r>
                  <w:r>
                    <w:rPr>
                      <w:rFonts w:hAnsi="宋体"/>
                      <w:szCs w:val="21"/>
                    </w:rPr>
                    <w:t>汽车用继电器零件</w:t>
                  </w:r>
                  <w:r>
                    <w:rPr>
                      <w:rFonts w:hint="eastAsia" w:hAnsi="宋体"/>
                      <w:szCs w:val="21"/>
                    </w:rPr>
                    <w:t>240万套、自行车用刹车零部件720万套、冷、热间锻造用金属模具2500公斤、机械零件不锈钢零件120万个</w:t>
                  </w:r>
                </w:p>
              </w:tc>
              <w:tc>
                <w:tcPr>
                  <w:tcW w:w="2429" w:type="dxa"/>
                  <w:tcBorders>
                    <w:top w:val="single" w:color="auto" w:sz="4" w:space="0"/>
                  </w:tcBorders>
                  <w:vAlign w:val="center"/>
                </w:tcPr>
                <w:p>
                  <w:pPr>
                    <w:jc w:val="center"/>
                    <w:rPr>
                      <w:rFonts w:hAnsi="宋体"/>
                      <w:szCs w:val="21"/>
                    </w:rPr>
                  </w:pPr>
                  <w:r>
                    <w:rPr>
                      <w:rFonts w:hint="eastAsia" w:hAnsi="宋体"/>
                      <w:szCs w:val="21"/>
                    </w:rPr>
                    <w:t>/</w:t>
                  </w:r>
                </w:p>
              </w:tc>
              <w:tc>
                <w:tcPr>
                  <w:tcW w:w="1890" w:type="dxa"/>
                  <w:tcBorders>
                    <w:top w:val="single" w:color="auto" w:sz="4" w:space="0"/>
                  </w:tcBorders>
                  <w:vAlign w:val="center"/>
                </w:tcPr>
                <w:p>
                  <w:pPr>
                    <w:jc w:val="center"/>
                    <w:rPr>
                      <w:szCs w:val="21"/>
                    </w:rPr>
                  </w:pPr>
                  <w:r>
                    <w:rPr>
                      <w:rFonts w:hAnsi="宋体"/>
                      <w:szCs w:val="21"/>
                    </w:rPr>
                    <w:t>与环评</w:t>
                  </w:r>
                  <w:r>
                    <w:rPr>
                      <w:szCs w:val="21"/>
                    </w:rPr>
                    <w:t>/</w:t>
                  </w:r>
                  <w:r>
                    <w:rPr>
                      <w:rFonts w:hAnsi="宋体"/>
                      <w:szCs w:val="21"/>
                    </w:rPr>
                    <w:t>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restart"/>
                  <w:vAlign w:val="center"/>
                </w:tcPr>
                <w:p>
                  <w:pPr>
                    <w:jc w:val="center"/>
                    <w:rPr>
                      <w:szCs w:val="21"/>
                    </w:rPr>
                  </w:pPr>
                  <w:r>
                    <w:rPr>
                      <w:rFonts w:hAnsi="宋体"/>
                      <w:szCs w:val="21"/>
                    </w:rPr>
                    <w:t>环保工程</w:t>
                  </w:r>
                </w:p>
              </w:tc>
              <w:tc>
                <w:tcPr>
                  <w:tcW w:w="419" w:type="dxa"/>
                  <w:vMerge w:val="restart"/>
                  <w:vAlign w:val="center"/>
                </w:tcPr>
                <w:p>
                  <w:pPr>
                    <w:jc w:val="center"/>
                    <w:rPr>
                      <w:szCs w:val="21"/>
                    </w:rPr>
                  </w:pPr>
                  <w:r>
                    <w:rPr>
                      <w:rFonts w:hAnsi="宋体"/>
                      <w:szCs w:val="21"/>
                    </w:rPr>
                    <w:t>废水</w:t>
                  </w:r>
                </w:p>
              </w:tc>
              <w:tc>
                <w:tcPr>
                  <w:tcW w:w="388" w:type="dxa"/>
                  <w:tcBorders>
                    <w:bottom w:val="single" w:color="auto" w:sz="4" w:space="0"/>
                  </w:tcBorders>
                  <w:vAlign w:val="center"/>
                </w:tcPr>
                <w:p>
                  <w:pPr>
                    <w:jc w:val="center"/>
                    <w:rPr>
                      <w:szCs w:val="21"/>
                    </w:rPr>
                  </w:pPr>
                  <w:r>
                    <w:rPr>
                      <w:rFonts w:hAnsi="宋体"/>
                      <w:szCs w:val="21"/>
                    </w:rPr>
                    <w:t>生活</w:t>
                  </w:r>
                </w:p>
              </w:tc>
              <w:tc>
                <w:tcPr>
                  <w:tcW w:w="3273" w:type="dxa"/>
                  <w:tcBorders>
                    <w:bottom w:val="single" w:color="auto" w:sz="4" w:space="0"/>
                  </w:tcBorders>
                  <w:vAlign w:val="center"/>
                </w:tcPr>
                <w:p>
                  <w:pPr>
                    <w:jc w:val="center"/>
                    <w:rPr>
                      <w:szCs w:val="21"/>
                    </w:rPr>
                  </w:pPr>
                  <w:r>
                    <w:rPr>
                      <w:rFonts w:hAnsi="宋体"/>
                      <w:szCs w:val="21"/>
                    </w:rPr>
                    <w:t>本项目职工生活污水经预处理后接入常州江边污水处理厂处理</w:t>
                  </w:r>
                </w:p>
              </w:tc>
              <w:tc>
                <w:tcPr>
                  <w:tcW w:w="2429" w:type="dxa"/>
                  <w:tcBorders>
                    <w:bottom w:val="single" w:color="auto" w:sz="4" w:space="0"/>
                  </w:tcBorders>
                  <w:vAlign w:val="center"/>
                </w:tcPr>
                <w:p>
                  <w:pPr>
                    <w:jc w:val="center"/>
                    <w:rPr>
                      <w:rFonts w:hAnsi="宋体"/>
                      <w:szCs w:val="21"/>
                    </w:rPr>
                  </w:pPr>
                  <w:r>
                    <w:rPr>
                      <w:rFonts w:hint="eastAsia" w:hAnsi="宋体"/>
                      <w:szCs w:val="21"/>
                    </w:rPr>
                    <w:t>/</w:t>
                  </w:r>
                </w:p>
              </w:tc>
              <w:tc>
                <w:tcPr>
                  <w:tcW w:w="1890" w:type="dxa"/>
                  <w:tcBorders>
                    <w:bottom w:val="single" w:color="auto" w:sz="4" w:space="0"/>
                  </w:tcBorders>
                  <w:vAlign w:val="center"/>
                </w:tcPr>
                <w:p>
                  <w:pPr>
                    <w:jc w:val="center"/>
                    <w:rPr>
                      <w:szCs w:val="21"/>
                    </w:rPr>
                  </w:pPr>
                  <w:r>
                    <w:rPr>
                      <w:rFonts w:hAnsi="宋体"/>
                      <w:szCs w:val="21"/>
                    </w:rPr>
                    <w:t>与环评</w:t>
                  </w:r>
                  <w:r>
                    <w:rPr>
                      <w:szCs w:val="21"/>
                    </w:rPr>
                    <w:t>/</w:t>
                  </w:r>
                  <w:r>
                    <w:rPr>
                      <w:rFonts w:hAnsi="宋体"/>
                      <w:szCs w:val="21"/>
                    </w:rPr>
                    <w:t>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continue"/>
                  <w:vAlign w:val="center"/>
                </w:tcPr>
                <w:p>
                  <w:pPr>
                    <w:jc w:val="center"/>
                    <w:rPr>
                      <w:szCs w:val="21"/>
                    </w:rPr>
                  </w:pPr>
                </w:p>
              </w:tc>
              <w:tc>
                <w:tcPr>
                  <w:tcW w:w="419" w:type="dxa"/>
                  <w:vMerge w:val="continue"/>
                  <w:vAlign w:val="center"/>
                </w:tcPr>
                <w:p>
                  <w:pPr>
                    <w:jc w:val="center"/>
                    <w:rPr>
                      <w:szCs w:val="21"/>
                    </w:rPr>
                  </w:pPr>
                </w:p>
              </w:tc>
              <w:tc>
                <w:tcPr>
                  <w:tcW w:w="388" w:type="dxa"/>
                  <w:tcBorders>
                    <w:top w:val="single" w:color="auto" w:sz="4" w:space="0"/>
                  </w:tcBorders>
                  <w:vAlign w:val="center"/>
                </w:tcPr>
                <w:p>
                  <w:pPr>
                    <w:jc w:val="center"/>
                    <w:rPr>
                      <w:szCs w:val="21"/>
                    </w:rPr>
                  </w:pPr>
                  <w:r>
                    <w:rPr>
                      <w:rFonts w:hAnsi="宋体"/>
                      <w:szCs w:val="21"/>
                    </w:rPr>
                    <w:t>生产</w:t>
                  </w:r>
                </w:p>
              </w:tc>
              <w:tc>
                <w:tcPr>
                  <w:tcW w:w="3273" w:type="dxa"/>
                  <w:tcBorders>
                    <w:top w:val="single" w:color="auto" w:sz="4" w:space="0"/>
                  </w:tcBorders>
                  <w:vAlign w:val="center"/>
                </w:tcPr>
                <w:p>
                  <w:pPr>
                    <w:jc w:val="center"/>
                    <w:rPr>
                      <w:szCs w:val="21"/>
                    </w:rPr>
                  </w:pPr>
                  <w:r>
                    <w:rPr>
                      <w:rFonts w:hAnsi="宋体"/>
                      <w:szCs w:val="21"/>
                    </w:rPr>
                    <w:t>本项目</w:t>
                  </w:r>
                  <w:r>
                    <w:rPr>
                      <w:rFonts w:hint="eastAsia" w:hAnsi="宋体"/>
                      <w:szCs w:val="21"/>
                    </w:rPr>
                    <w:t>切割</w:t>
                  </w:r>
                  <w:r>
                    <w:rPr>
                      <w:rFonts w:hAnsi="宋体"/>
                      <w:szCs w:val="21"/>
                    </w:rPr>
                    <w:t>废水</w:t>
                  </w:r>
                  <w:r>
                    <w:rPr>
                      <w:rFonts w:hint="eastAsia" w:hAnsi="宋体"/>
                      <w:szCs w:val="21"/>
                    </w:rPr>
                    <w:t>、</w:t>
                  </w:r>
                  <w:r>
                    <w:rPr>
                      <w:rFonts w:hAnsi="宋体"/>
                      <w:szCs w:val="21"/>
                    </w:rPr>
                    <w:t>研磨废水经过滤后与生活污水接入常州江边污水处理厂处理</w:t>
                  </w:r>
                </w:p>
              </w:tc>
              <w:tc>
                <w:tcPr>
                  <w:tcW w:w="2429" w:type="dxa"/>
                  <w:tcBorders>
                    <w:top w:val="single" w:color="auto" w:sz="4" w:space="0"/>
                  </w:tcBorders>
                  <w:vAlign w:val="center"/>
                </w:tcPr>
                <w:p>
                  <w:pPr>
                    <w:jc w:val="center"/>
                    <w:rPr>
                      <w:rFonts w:hAnsi="宋体"/>
                      <w:szCs w:val="21"/>
                    </w:rPr>
                  </w:pPr>
                  <w:r>
                    <w:rPr>
                      <w:rFonts w:hint="eastAsia" w:hAnsi="宋体"/>
                      <w:szCs w:val="21"/>
                    </w:rPr>
                    <w:t>/</w:t>
                  </w:r>
                </w:p>
              </w:tc>
              <w:tc>
                <w:tcPr>
                  <w:tcW w:w="1890" w:type="dxa"/>
                  <w:tcBorders>
                    <w:top w:val="single" w:color="auto" w:sz="4" w:space="0"/>
                  </w:tcBorders>
                  <w:vAlign w:val="center"/>
                </w:tcPr>
                <w:p>
                  <w:pPr>
                    <w:jc w:val="center"/>
                    <w:rPr>
                      <w:szCs w:val="21"/>
                    </w:rPr>
                  </w:pPr>
                  <w:r>
                    <w:rPr>
                      <w:rFonts w:hAnsi="宋体"/>
                      <w:szCs w:val="21"/>
                    </w:rPr>
                    <w:t>与环评</w:t>
                  </w:r>
                  <w:r>
                    <w:rPr>
                      <w:szCs w:val="21"/>
                    </w:rPr>
                    <w:t>/</w:t>
                  </w:r>
                  <w:r>
                    <w:rPr>
                      <w:rFonts w:hAnsi="宋体"/>
                      <w:szCs w:val="21"/>
                    </w:rPr>
                    <w:t>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continue"/>
                  <w:vAlign w:val="center"/>
                </w:tcPr>
                <w:p>
                  <w:pPr>
                    <w:jc w:val="center"/>
                    <w:rPr>
                      <w:szCs w:val="21"/>
                    </w:rPr>
                  </w:pPr>
                </w:p>
              </w:tc>
              <w:tc>
                <w:tcPr>
                  <w:tcW w:w="807" w:type="dxa"/>
                  <w:gridSpan w:val="2"/>
                  <w:vAlign w:val="center"/>
                </w:tcPr>
                <w:p>
                  <w:pPr>
                    <w:jc w:val="center"/>
                    <w:rPr>
                      <w:rFonts w:hAnsi="宋体"/>
                      <w:szCs w:val="21"/>
                    </w:rPr>
                  </w:pPr>
                  <w:r>
                    <w:rPr>
                      <w:rFonts w:hAnsi="宋体"/>
                      <w:szCs w:val="21"/>
                    </w:rPr>
                    <w:t>废气</w:t>
                  </w:r>
                </w:p>
                <w:p>
                  <w:pPr>
                    <w:jc w:val="center"/>
                    <w:rPr>
                      <w:szCs w:val="21"/>
                    </w:rPr>
                  </w:pPr>
                  <w:r>
                    <w:rPr>
                      <w:rFonts w:hAnsi="宋体"/>
                      <w:szCs w:val="21"/>
                    </w:rPr>
                    <w:t>处理</w:t>
                  </w:r>
                </w:p>
              </w:tc>
              <w:tc>
                <w:tcPr>
                  <w:tcW w:w="3273" w:type="dxa"/>
                  <w:vAlign w:val="center"/>
                </w:tcPr>
                <w:p>
                  <w:pPr>
                    <w:jc w:val="center"/>
                    <w:rPr>
                      <w:szCs w:val="21"/>
                    </w:rPr>
                  </w:pPr>
                  <w:r>
                    <w:rPr>
                      <w:rFonts w:hAnsi="宋体"/>
                      <w:szCs w:val="21"/>
                    </w:rPr>
                    <w:t>脱脂清洗工序废气收集后经活性炭吸附装置处理后</w:t>
                  </w:r>
                  <w:r>
                    <w:rPr>
                      <w:rFonts w:hint="eastAsia" w:hAnsi="宋体"/>
                      <w:szCs w:val="21"/>
                    </w:rPr>
                    <w:t>，</w:t>
                  </w:r>
                  <w:r>
                    <w:rPr>
                      <w:rFonts w:hAnsi="宋体"/>
                      <w:szCs w:val="21"/>
                    </w:rPr>
                    <w:t>通过</w:t>
                  </w:r>
                  <w:r>
                    <w:rPr>
                      <w:rFonts w:hint="eastAsia" w:hAnsi="宋体"/>
                      <w:szCs w:val="21"/>
                    </w:rPr>
                    <w:t>15米排气筒排放</w:t>
                  </w:r>
                </w:p>
              </w:tc>
              <w:tc>
                <w:tcPr>
                  <w:tcW w:w="2429" w:type="dxa"/>
                  <w:vAlign w:val="center"/>
                </w:tcPr>
                <w:p>
                  <w:pPr>
                    <w:jc w:val="center"/>
                    <w:rPr>
                      <w:rFonts w:hAnsi="宋体"/>
                      <w:szCs w:val="21"/>
                    </w:rPr>
                  </w:pPr>
                  <w:r>
                    <w:rPr>
                      <w:rFonts w:hint="eastAsia" w:hAnsi="宋体"/>
                      <w:szCs w:val="21"/>
                    </w:rPr>
                    <w:t>脱脂</w:t>
                  </w:r>
                  <w:r>
                    <w:rPr>
                      <w:rFonts w:hAnsi="宋体"/>
                      <w:szCs w:val="21"/>
                    </w:rPr>
                    <w:t>清洗工序和淬火工序废气收集后共同经过</w:t>
                  </w:r>
                  <w:r>
                    <w:rPr>
                      <w:rFonts w:hint="eastAsia" w:hAnsi="宋体"/>
                      <w:szCs w:val="21"/>
                    </w:rPr>
                    <w:t>1</w:t>
                  </w:r>
                  <w:r>
                    <w:rPr>
                      <w:rFonts w:hAnsi="宋体"/>
                      <w:szCs w:val="21"/>
                    </w:rPr>
                    <w:t>套活性炭装置处理后通过</w:t>
                  </w:r>
                  <w:r>
                    <w:rPr>
                      <w:rFonts w:hint="eastAsia" w:hAnsi="宋体"/>
                      <w:szCs w:val="21"/>
                    </w:rPr>
                    <w:t>15米高排气筒排放；回火工序和消磁退火工序废气收集后分别经2套活性炭吸附装置处理后通过15米高排气筒排放</w:t>
                  </w:r>
                </w:p>
              </w:tc>
              <w:tc>
                <w:tcPr>
                  <w:tcW w:w="1890" w:type="dxa"/>
                  <w:vAlign w:val="center"/>
                </w:tcPr>
                <w:p>
                  <w:pPr>
                    <w:jc w:val="center"/>
                    <w:rPr>
                      <w:szCs w:val="21"/>
                    </w:rPr>
                  </w:pPr>
                  <w:r>
                    <w:rPr>
                      <w:rFonts w:hint="eastAsia" w:hAnsi="宋体"/>
                      <w:szCs w:val="21"/>
                    </w:rPr>
                    <w:t>与情况说明一致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continue"/>
                  <w:vAlign w:val="center"/>
                </w:tcPr>
                <w:p>
                  <w:pPr>
                    <w:jc w:val="center"/>
                    <w:rPr>
                      <w:szCs w:val="21"/>
                    </w:rPr>
                  </w:pPr>
                </w:p>
              </w:tc>
              <w:tc>
                <w:tcPr>
                  <w:tcW w:w="807" w:type="dxa"/>
                  <w:gridSpan w:val="2"/>
                  <w:vAlign w:val="center"/>
                </w:tcPr>
                <w:p>
                  <w:pPr>
                    <w:jc w:val="center"/>
                    <w:rPr>
                      <w:rFonts w:hAnsi="宋体"/>
                      <w:szCs w:val="21"/>
                    </w:rPr>
                  </w:pPr>
                  <w:r>
                    <w:rPr>
                      <w:rFonts w:hAnsi="宋体"/>
                      <w:szCs w:val="21"/>
                    </w:rPr>
                    <w:t>噪声</w:t>
                  </w:r>
                </w:p>
                <w:p>
                  <w:pPr>
                    <w:jc w:val="center"/>
                    <w:rPr>
                      <w:szCs w:val="21"/>
                    </w:rPr>
                  </w:pPr>
                  <w:r>
                    <w:rPr>
                      <w:rFonts w:hAnsi="宋体"/>
                      <w:szCs w:val="21"/>
                    </w:rPr>
                    <w:t>处理</w:t>
                  </w:r>
                </w:p>
              </w:tc>
              <w:tc>
                <w:tcPr>
                  <w:tcW w:w="3273" w:type="dxa"/>
                  <w:vAlign w:val="center"/>
                </w:tcPr>
                <w:p>
                  <w:pPr>
                    <w:jc w:val="center"/>
                    <w:rPr>
                      <w:szCs w:val="21"/>
                    </w:rPr>
                  </w:pPr>
                  <w:r>
                    <w:rPr>
                      <w:rFonts w:hint="eastAsia" w:hAnsi="宋体"/>
                      <w:szCs w:val="21"/>
                    </w:rPr>
                    <w:t>墙体</w:t>
                  </w:r>
                  <w:r>
                    <w:rPr>
                      <w:rFonts w:hAnsi="宋体"/>
                      <w:szCs w:val="21"/>
                    </w:rPr>
                    <w:t>隔声和距离衰减</w:t>
                  </w:r>
                </w:p>
              </w:tc>
              <w:tc>
                <w:tcPr>
                  <w:tcW w:w="2429" w:type="dxa"/>
                  <w:vAlign w:val="center"/>
                </w:tcPr>
                <w:p>
                  <w:pPr>
                    <w:jc w:val="center"/>
                    <w:rPr>
                      <w:rFonts w:hAnsi="宋体"/>
                      <w:szCs w:val="21"/>
                    </w:rPr>
                  </w:pPr>
                  <w:r>
                    <w:rPr>
                      <w:rFonts w:hint="eastAsia" w:hAnsi="宋体"/>
                      <w:szCs w:val="21"/>
                    </w:rPr>
                    <w:t>/</w:t>
                  </w:r>
                </w:p>
              </w:tc>
              <w:tc>
                <w:tcPr>
                  <w:tcW w:w="1890" w:type="dxa"/>
                  <w:vAlign w:val="center"/>
                </w:tcPr>
                <w:p>
                  <w:pPr>
                    <w:jc w:val="center"/>
                    <w:rPr>
                      <w:szCs w:val="21"/>
                    </w:rPr>
                  </w:pPr>
                  <w:r>
                    <w:rPr>
                      <w:rFonts w:hAnsi="宋体"/>
                      <w:szCs w:val="21"/>
                    </w:rPr>
                    <w:t>与环评</w:t>
                  </w:r>
                  <w:r>
                    <w:rPr>
                      <w:szCs w:val="21"/>
                    </w:rPr>
                    <w:t>/</w:t>
                  </w:r>
                  <w:r>
                    <w:rPr>
                      <w:rFonts w:hAnsi="宋体"/>
                      <w:szCs w:val="21"/>
                    </w:rPr>
                    <w:t>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803" w:hRule="atLeast"/>
                <w:jc w:val="center"/>
              </w:trPr>
              <w:tc>
                <w:tcPr>
                  <w:tcW w:w="467" w:type="dxa"/>
                  <w:vMerge w:val="continue"/>
                  <w:vAlign w:val="center"/>
                </w:tcPr>
                <w:p>
                  <w:pPr>
                    <w:jc w:val="center"/>
                    <w:rPr>
                      <w:szCs w:val="21"/>
                    </w:rPr>
                  </w:pPr>
                </w:p>
              </w:tc>
              <w:tc>
                <w:tcPr>
                  <w:tcW w:w="807" w:type="dxa"/>
                  <w:gridSpan w:val="2"/>
                  <w:vAlign w:val="center"/>
                </w:tcPr>
                <w:p>
                  <w:pPr>
                    <w:jc w:val="center"/>
                    <w:rPr>
                      <w:szCs w:val="21"/>
                    </w:rPr>
                  </w:pPr>
                  <w:r>
                    <w:rPr>
                      <w:rFonts w:hAnsi="宋体"/>
                      <w:szCs w:val="21"/>
                    </w:rPr>
                    <w:t>以新带老措施</w:t>
                  </w:r>
                </w:p>
              </w:tc>
              <w:tc>
                <w:tcPr>
                  <w:tcW w:w="3273" w:type="dxa"/>
                  <w:vAlign w:val="center"/>
                </w:tcPr>
                <w:p>
                  <w:pPr>
                    <w:jc w:val="center"/>
                    <w:rPr>
                      <w:szCs w:val="21"/>
                    </w:rPr>
                  </w:pPr>
                  <w:r>
                    <w:rPr>
                      <w:rFonts w:hint="eastAsia" w:hAnsi="宋体"/>
                      <w:szCs w:val="21"/>
                    </w:rPr>
                    <w:t>/</w:t>
                  </w:r>
                </w:p>
              </w:tc>
              <w:tc>
                <w:tcPr>
                  <w:tcW w:w="2429" w:type="dxa"/>
                  <w:vAlign w:val="center"/>
                </w:tcPr>
                <w:p>
                  <w:pPr>
                    <w:jc w:val="center"/>
                    <w:rPr>
                      <w:rFonts w:hAnsi="宋体"/>
                      <w:szCs w:val="21"/>
                    </w:rPr>
                  </w:pPr>
                  <w:r>
                    <w:rPr>
                      <w:rFonts w:hint="eastAsia" w:hAnsi="宋体"/>
                      <w:szCs w:val="21"/>
                    </w:rPr>
                    <w:t>/</w:t>
                  </w:r>
                </w:p>
              </w:tc>
              <w:tc>
                <w:tcPr>
                  <w:tcW w:w="1890" w:type="dxa"/>
                  <w:vAlign w:val="center"/>
                </w:tcPr>
                <w:p>
                  <w:pPr>
                    <w:jc w:val="center"/>
                    <w:rPr>
                      <w:szCs w:val="21"/>
                    </w:rPr>
                  </w:pPr>
                  <w:r>
                    <w:rPr>
                      <w:rFonts w:hint="eastAsia"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467" w:type="dxa"/>
                  <w:vMerge w:val="continue"/>
                  <w:vAlign w:val="center"/>
                </w:tcPr>
                <w:p>
                  <w:pPr>
                    <w:jc w:val="center"/>
                    <w:rPr>
                      <w:szCs w:val="21"/>
                    </w:rPr>
                  </w:pPr>
                </w:p>
              </w:tc>
              <w:tc>
                <w:tcPr>
                  <w:tcW w:w="807" w:type="dxa"/>
                  <w:gridSpan w:val="2"/>
                  <w:vAlign w:val="center"/>
                </w:tcPr>
                <w:p>
                  <w:pPr>
                    <w:jc w:val="center"/>
                    <w:rPr>
                      <w:szCs w:val="21"/>
                    </w:rPr>
                  </w:pPr>
                  <w:r>
                    <w:rPr>
                      <w:rFonts w:hAnsi="宋体"/>
                      <w:szCs w:val="21"/>
                    </w:rPr>
                    <w:t>供电</w:t>
                  </w:r>
                </w:p>
              </w:tc>
              <w:tc>
                <w:tcPr>
                  <w:tcW w:w="3273" w:type="dxa"/>
                  <w:vAlign w:val="center"/>
                </w:tcPr>
                <w:p>
                  <w:pPr>
                    <w:jc w:val="center"/>
                    <w:rPr>
                      <w:szCs w:val="21"/>
                    </w:rPr>
                  </w:pPr>
                  <w:r>
                    <w:rPr>
                      <w:rFonts w:hint="eastAsia" w:hAnsi="宋体"/>
                      <w:szCs w:val="21"/>
                    </w:rPr>
                    <w:t>依托粤海工业园供电</w:t>
                  </w:r>
                </w:p>
              </w:tc>
              <w:tc>
                <w:tcPr>
                  <w:tcW w:w="2429" w:type="dxa"/>
                  <w:vAlign w:val="center"/>
                </w:tcPr>
                <w:p>
                  <w:pPr>
                    <w:jc w:val="center"/>
                    <w:rPr>
                      <w:rFonts w:hAnsi="宋体"/>
                      <w:szCs w:val="21"/>
                    </w:rPr>
                  </w:pPr>
                  <w:r>
                    <w:rPr>
                      <w:rFonts w:hint="eastAsia" w:hAnsi="宋体"/>
                      <w:szCs w:val="21"/>
                    </w:rPr>
                    <w:t>/</w:t>
                  </w:r>
                </w:p>
              </w:tc>
              <w:tc>
                <w:tcPr>
                  <w:tcW w:w="1890" w:type="dxa"/>
                  <w:vAlign w:val="center"/>
                </w:tcPr>
                <w:p>
                  <w:pPr>
                    <w:jc w:val="center"/>
                    <w:rPr>
                      <w:szCs w:val="21"/>
                    </w:rPr>
                  </w:pPr>
                  <w:r>
                    <w:rPr>
                      <w:rFonts w:hAnsi="宋体"/>
                      <w:szCs w:val="21"/>
                    </w:rPr>
                    <w:t>与环评</w:t>
                  </w:r>
                  <w:r>
                    <w:rPr>
                      <w:szCs w:val="21"/>
                    </w:rPr>
                    <w:t>/</w:t>
                  </w:r>
                  <w:r>
                    <w:rPr>
                      <w:rFonts w:hAnsi="宋体"/>
                      <w:szCs w:val="21"/>
                    </w:rPr>
                    <w:t>批复一致</w:t>
                  </w:r>
                </w:p>
              </w:tc>
            </w:tr>
          </w:tbl>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p>
          <w:p>
            <w:pPr>
              <w:spacing w:beforeLines="50"/>
              <w:jc w:val="center"/>
              <w:rPr>
                <w:b/>
                <w:sz w:val="24"/>
              </w:rPr>
            </w:pPr>
            <w:r>
              <w:rPr>
                <w:b/>
                <w:sz w:val="24"/>
              </w:rPr>
              <w:t>表2-</w:t>
            </w:r>
            <w:r>
              <w:rPr>
                <w:rFonts w:hint="eastAsia"/>
                <w:b/>
                <w:sz w:val="24"/>
              </w:rPr>
              <w:t>4</w:t>
            </w:r>
            <w:r>
              <w:rPr>
                <w:b/>
                <w:sz w:val="24"/>
              </w:rPr>
              <w:t xml:space="preserve">  本项目主要生产设备一览表</w:t>
            </w:r>
          </w:p>
          <w:tbl>
            <w:tblPr>
              <w:tblStyle w:val="18"/>
              <w:tblpPr w:leftFromText="181" w:rightFromText="181" w:vertAnchor="text" w:horzAnchor="margin" w:tblpXSpec="center" w:tblpY="1"/>
              <w:tblOverlap w:val="never"/>
              <w:tblW w:w="88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147"/>
              <w:gridCol w:w="1475"/>
              <w:gridCol w:w="1328"/>
              <w:gridCol w:w="1078"/>
              <w:gridCol w:w="1197"/>
              <w:gridCol w:w="1147"/>
              <w:gridCol w:w="90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trPr>
              <w:tc>
                <w:tcPr>
                  <w:tcW w:w="588" w:type="dxa"/>
                  <w:vMerge w:val="restart"/>
                  <w:vAlign w:val="center"/>
                </w:tcPr>
                <w:p>
                  <w:pPr>
                    <w:jc w:val="center"/>
                    <w:rPr>
                      <w:b/>
                      <w:szCs w:val="21"/>
                    </w:rPr>
                  </w:pPr>
                  <w:r>
                    <w:rPr>
                      <w:rFonts w:hAnsi="宋体"/>
                      <w:b/>
                      <w:szCs w:val="21"/>
                    </w:rPr>
                    <w:t>序号</w:t>
                  </w:r>
                </w:p>
              </w:tc>
              <w:tc>
                <w:tcPr>
                  <w:tcW w:w="1147" w:type="dxa"/>
                  <w:vMerge w:val="restart"/>
                  <w:vAlign w:val="center"/>
                </w:tcPr>
                <w:p>
                  <w:pPr>
                    <w:jc w:val="center"/>
                    <w:rPr>
                      <w:rFonts w:hAnsi="宋体"/>
                      <w:b/>
                      <w:szCs w:val="21"/>
                    </w:rPr>
                  </w:pPr>
                  <w:r>
                    <w:rPr>
                      <w:rFonts w:hAnsi="宋体"/>
                      <w:b/>
                      <w:szCs w:val="21"/>
                    </w:rPr>
                    <w:t>类别</w:t>
                  </w:r>
                </w:p>
              </w:tc>
              <w:tc>
                <w:tcPr>
                  <w:tcW w:w="1475" w:type="dxa"/>
                  <w:vMerge w:val="restart"/>
                  <w:vAlign w:val="center"/>
                </w:tcPr>
                <w:p>
                  <w:pPr>
                    <w:jc w:val="center"/>
                    <w:rPr>
                      <w:b/>
                      <w:szCs w:val="21"/>
                    </w:rPr>
                  </w:pPr>
                  <w:r>
                    <w:rPr>
                      <w:rFonts w:hAnsi="宋体"/>
                      <w:b/>
                      <w:szCs w:val="21"/>
                    </w:rPr>
                    <w:t>设备名称</w:t>
                  </w:r>
                </w:p>
              </w:tc>
              <w:tc>
                <w:tcPr>
                  <w:tcW w:w="2406" w:type="dxa"/>
                  <w:gridSpan w:val="2"/>
                  <w:vAlign w:val="center"/>
                </w:tcPr>
                <w:p>
                  <w:pPr>
                    <w:jc w:val="center"/>
                    <w:rPr>
                      <w:b/>
                      <w:szCs w:val="21"/>
                    </w:rPr>
                  </w:pPr>
                  <w:r>
                    <w:rPr>
                      <w:rFonts w:hAnsi="宋体"/>
                      <w:b/>
                      <w:szCs w:val="21"/>
                    </w:rPr>
                    <w:t>环评</w:t>
                  </w:r>
                </w:p>
              </w:tc>
              <w:tc>
                <w:tcPr>
                  <w:tcW w:w="2344" w:type="dxa"/>
                  <w:gridSpan w:val="2"/>
                  <w:vAlign w:val="center"/>
                </w:tcPr>
                <w:p>
                  <w:pPr>
                    <w:jc w:val="center"/>
                    <w:rPr>
                      <w:b/>
                      <w:szCs w:val="21"/>
                    </w:rPr>
                  </w:pPr>
                  <w:r>
                    <w:rPr>
                      <w:rFonts w:hAnsi="宋体"/>
                      <w:b/>
                      <w:szCs w:val="21"/>
                    </w:rPr>
                    <w:t>实际</w:t>
                  </w:r>
                </w:p>
              </w:tc>
              <w:tc>
                <w:tcPr>
                  <w:tcW w:w="906" w:type="dxa"/>
                  <w:vMerge w:val="restart"/>
                  <w:vAlign w:val="center"/>
                </w:tcPr>
                <w:p>
                  <w:pPr>
                    <w:jc w:val="center"/>
                    <w:rPr>
                      <w:rFonts w:hAnsi="宋体"/>
                      <w:b/>
                      <w:szCs w:val="21"/>
                    </w:rPr>
                  </w:pPr>
                  <w:r>
                    <w:rPr>
                      <w:rFonts w:hAnsi="宋体"/>
                      <w:b/>
                      <w:szCs w:val="21"/>
                    </w:rPr>
                    <w:t>变化</w:t>
                  </w:r>
                </w:p>
                <w:p>
                  <w:pPr>
                    <w:jc w:val="center"/>
                    <w:rPr>
                      <w:b/>
                      <w:szCs w:val="21"/>
                    </w:rPr>
                  </w:pPr>
                  <w:r>
                    <w:rPr>
                      <w:rFonts w:hAnsi="宋体"/>
                      <w:b/>
                      <w:szCs w:val="21"/>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554" w:hRule="atLeast"/>
              </w:trPr>
              <w:tc>
                <w:tcPr>
                  <w:tcW w:w="588" w:type="dxa"/>
                  <w:vMerge w:val="continue"/>
                  <w:vAlign w:val="center"/>
                </w:tcPr>
                <w:p>
                  <w:pPr>
                    <w:jc w:val="center"/>
                    <w:rPr>
                      <w:szCs w:val="21"/>
                    </w:rPr>
                  </w:pPr>
                </w:p>
              </w:tc>
              <w:tc>
                <w:tcPr>
                  <w:tcW w:w="1147" w:type="dxa"/>
                  <w:vMerge w:val="continue"/>
                  <w:vAlign w:val="center"/>
                </w:tcPr>
                <w:p>
                  <w:pPr>
                    <w:jc w:val="center"/>
                    <w:rPr>
                      <w:szCs w:val="21"/>
                    </w:rPr>
                  </w:pPr>
                </w:p>
              </w:tc>
              <w:tc>
                <w:tcPr>
                  <w:tcW w:w="1475" w:type="dxa"/>
                  <w:vMerge w:val="continue"/>
                  <w:vAlign w:val="center"/>
                </w:tcPr>
                <w:p>
                  <w:pPr>
                    <w:jc w:val="center"/>
                    <w:rPr>
                      <w:szCs w:val="21"/>
                    </w:rPr>
                  </w:pPr>
                </w:p>
              </w:tc>
              <w:tc>
                <w:tcPr>
                  <w:tcW w:w="1328" w:type="dxa"/>
                  <w:vAlign w:val="center"/>
                </w:tcPr>
                <w:p>
                  <w:pPr>
                    <w:jc w:val="center"/>
                    <w:rPr>
                      <w:b/>
                      <w:szCs w:val="21"/>
                    </w:rPr>
                  </w:pPr>
                  <w:r>
                    <w:rPr>
                      <w:rFonts w:hAnsi="宋体"/>
                      <w:b/>
                      <w:szCs w:val="21"/>
                    </w:rPr>
                    <w:t>型号</w:t>
                  </w:r>
                </w:p>
              </w:tc>
              <w:tc>
                <w:tcPr>
                  <w:tcW w:w="1078" w:type="dxa"/>
                  <w:vAlign w:val="center"/>
                </w:tcPr>
                <w:p>
                  <w:pPr>
                    <w:jc w:val="center"/>
                    <w:rPr>
                      <w:b/>
                      <w:szCs w:val="21"/>
                    </w:rPr>
                  </w:pPr>
                  <w:r>
                    <w:rPr>
                      <w:rFonts w:hAnsi="宋体"/>
                      <w:b/>
                      <w:szCs w:val="21"/>
                    </w:rPr>
                    <w:t>数量</w:t>
                  </w:r>
                </w:p>
              </w:tc>
              <w:tc>
                <w:tcPr>
                  <w:tcW w:w="1197" w:type="dxa"/>
                  <w:vAlign w:val="center"/>
                </w:tcPr>
                <w:p>
                  <w:pPr>
                    <w:jc w:val="center"/>
                    <w:rPr>
                      <w:b/>
                      <w:szCs w:val="21"/>
                    </w:rPr>
                  </w:pPr>
                  <w:r>
                    <w:rPr>
                      <w:rFonts w:hAnsi="宋体"/>
                      <w:b/>
                      <w:szCs w:val="21"/>
                    </w:rPr>
                    <w:t>型号</w:t>
                  </w:r>
                </w:p>
              </w:tc>
              <w:tc>
                <w:tcPr>
                  <w:tcW w:w="1147" w:type="dxa"/>
                  <w:vAlign w:val="center"/>
                </w:tcPr>
                <w:p>
                  <w:pPr>
                    <w:jc w:val="center"/>
                    <w:rPr>
                      <w:b/>
                      <w:szCs w:val="21"/>
                    </w:rPr>
                  </w:pPr>
                  <w:r>
                    <w:rPr>
                      <w:rFonts w:hAnsi="宋体"/>
                      <w:b/>
                      <w:szCs w:val="21"/>
                    </w:rPr>
                    <w:t>数量</w:t>
                  </w:r>
                </w:p>
              </w:tc>
              <w:tc>
                <w:tcPr>
                  <w:tcW w:w="906" w:type="dxa"/>
                  <w:vMerge w:val="continue"/>
                  <w:vAlign w:val="center"/>
                </w:tcPr>
                <w:p>
                  <w:pPr>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szCs w:val="21"/>
                    </w:rPr>
                    <w:t>1</w:t>
                  </w:r>
                </w:p>
              </w:tc>
              <w:tc>
                <w:tcPr>
                  <w:tcW w:w="1147" w:type="dxa"/>
                  <w:vMerge w:val="restart"/>
                  <w:vAlign w:val="center"/>
                </w:tcPr>
                <w:p>
                  <w:pPr>
                    <w:jc w:val="center"/>
                    <w:rPr>
                      <w:rFonts w:hAnsi="宋体"/>
                      <w:szCs w:val="21"/>
                    </w:rPr>
                  </w:pPr>
                  <w:r>
                    <w:rPr>
                      <w:rFonts w:hAnsi="宋体"/>
                      <w:szCs w:val="21"/>
                    </w:rPr>
                    <w:t>生产设备</w:t>
                  </w:r>
                </w:p>
              </w:tc>
              <w:tc>
                <w:tcPr>
                  <w:tcW w:w="1475" w:type="dxa"/>
                  <w:vAlign w:val="center"/>
                </w:tcPr>
                <w:p>
                  <w:pPr>
                    <w:jc w:val="center"/>
                    <w:rPr>
                      <w:szCs w:val="21"/>
                    </w:rPr>
                  </w:pPr>
                  <w:r>
                    <w:rPr>
                      <w:szCs w:val="21"/>
                    </w:rPr>
                    <w:t>一室真空炉</w:t>
                  </w:r>
                </w:p>
              </w:tc>
              <w:tc>
                <w:tcPr>
                  <w:tcW w:w="1328" w:type="dxa"/>
                  <w:vAlign w:val="center"/>
                </w:tcPr>
                <w:p>
                  <w:pPr>
                    <w:jc w:val="center"/>
                    <w:rPr>
                      <w:szCs w:val="21"/>
                      <w:shd w:val="clear" w:color="auto" w:fill="FFFFFF"/>
                    </w:rPr>
                  </w:pPr>
                  <w:r>
                    <w:rPr>
                      <w:rFonts w:hint="eastAsia"/>
                      <w:szCs w:val="21"/>
                      <w:shd w:val="clear" w:color="auto" w:fill="FFFFFF"/>
                    </w:rPr>
                    <w:t>1t型</w:t>
                  </w:r>
                </w:p>
              </w:tc>
              <w:tc>
                <w:tcPr>
                  <w:tcW w:w="1078" w:type="dxa"/>
                  <w:vAlign w:val="center"/>
                </w:tcPr>
                <w:p>
                  <w:pPr>
                    <w:jc w:val="center"/>
                    <w:rPr>
                      <w:szCs w:val="21"/>
                    </w:rPr>
                  </w:pPr>
                  <w:r>
                    <w:rPr>
                      <w:rFonts w:hint="eastAsia"/>
                      <w:szCs w:val="21"/>
                    </w:rPr>
                    <w:t>2</w:t>
                  </w:r>
                </w:p>
              </w:tc>
              <w:tc>
                <w:tcPr>
                  <w:tcW w:w="1197" w:type="dxa"/>
                  <w:vAlign w:val="center"/>
                </w:tcPr>
                <w:p>
                  <w:pPr>
                    <w:jc w:val="center"/>
                    <w:rPr>
                      <w:szCs w:val="21"/>
                      <w:shd w:val="clear" w:color="auto" w:fill="FFFFFF"/>
                    </w:rPr>
                  </w:pPr>
                  <w:r>
                    <w:rPr>
                      <w:rFonts w:hint="eastAsia"/>
                      <w:szCs w:val="21"/>
                      <w:shd w:val="clear" w:color="auto" w:fill="FFFFFF"/>
                    </w:rPr>
                    <w:t>1t型</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减少</w:t>
                  </w:r>
                  <w:r>
                    <w:rPr>
                      <w:rFonts w:hint="eastAsia"/>
                      <w:szCs w:val="21"/>
                    </w:rPr>
                    <w:t>1台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tcBorders>
                    <w:bottom w:val="single" w:color="auto" w:sz="4" w:space="0"/>
                  </w:tcBorders>
                  <w:vAlign w:val="center"/>
                </w:tcPr>
                <w:p>
                  <w:pPr>
                    <w:jc w:val="center"/>
                    <w:rPr>
                      <w:szCs w:val="21"/>
                    </w:rPr>
                  </w:pPr>
                  <w:r>
                    <w:rPr>
                      <w:szCs w:val="21"/>
                    </w:rPr>
                    <w:t>2</w:t>
                  </w:r>
                </w:p>
              </w:tc>
              <w:tc>
                <w:tcPr>
                  <w:tcW w:w="1147" w:type="dxa"/>
                  <w:vMerge w:val="continue"/>
                  <w:vAlign w:val="center"/>
                </w:tcPr>
                <w:p>
                  <w:pPr>
                    <w:jc w:val="center"/>
                    <w:rPr>
                      <w:rFonts w:hAnsi="宋体"/>
                      <w:szCs w:val="21"/>
                    </w:rPr>
                  </w:pPr>
                </w:p>
              </w:tc>
              <w:tc>
                <w:tcPr>
                  <w:tcW w:w="1475" w:type="dxa"/>
                  <w:tcBorders>
                    <w:bottom w:val="single" w:color="auto" w:sz="4" w:space="0"/>
                  </w:tcBorders>
                  <w:vAlign w:val="center"/>
                </w:tcPr>
                <w:p>
                  <w:pPr>
                    <w:jc w:val="center"/>
                    <w:rPr>
                      <w:szCs w:val="21"/>
                    </w:rPr>
                  </w:pPr>
                  <w:r>
                    <w:rPr>
                      <w:szCs w:val="21"/>
                    </w:rPr>
                    <w:t>多室真空炉</w:t>
                  </w:r>
                </w:p>
              </w:tc>
              <w:tc>
                <w:tcPr>
                  <w:tcW w:w="1328" w:type="dxa"/>
                  <w:vAlign w:val="center"/>
                </w:tcPr>
                <w:p>
                  <w:pPr>
                    <w:jc w:val="center"/>
                    <w:rPr>
                      <w:szCs w:val="21"/>
                      <w:shd w:val="clear" w:color="auto" w:fill="FFFFFF"/>
                    </w:rPr>
                  </w:pPr>
                  <w:r>
                    <w:rPr>
                      <w:rFonts w:hint="eastAsia"/>
                      <w:szCs w:val="21"/>
                      <w:shd w:val="clear" w:color="auto" w:fill="FFFFFF"/>
                    </w:rPr>
                    <w:t>600kg型</w:t>
                  </w:r>
                </w:p>
              </w:tc>
              <w:tc>
                <w:tcPr>
                  <w:tcW w:w="1078" w:type="dxa"/>
                  <w:vAlign w:val="center"/>
                </w:tcPr>
                <w:p>
                  <w:pPr>
                    <w:jc w:val="center"/>
                    <w:rPr>
                      <w:szCs w:val="21"/>
                    </w:rPr>
                  </w:pPr>
                  <w:r>
                    <w:rPr>
                      <w:rFonts w:hint="eastAsia"/>
                      <w:szCs w:val="21"/>
                    </w:rPr>
                    <w:t>1</w:t>
                  </w:r>
                </w:p>
              </w:tc>
              <w:tc>
                <w:tcPr>
                  <w:tcW w:w="1197" w:type="dxa"/>
                  <w:vAlign w:val="center"/>
                </w:tcPr>
                <w:p>
                  <w:pPr>
                    <w:jc w:val="center"/>
                    <w:rPr>
                      <w:szCs w:val="21"/>
                      <w:shd w:val="clear" w:color="auto" w:fill="FFFFFF"/>
                    </w:rPr>
                  </w:pPr>
                  <w:r>
                    <w:rPr>
                      <w:rFonts w:hint="eastAsia"/>
                      <w:szCs w:val="21"/>
                      <w:shd w:val="clear" w:color="auto" w:fill="FFFFFF"/>
                    </w:rPr>
                    <w:t>600kg型</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tcBorders>
                    <w:top w:val="single" w:color="auto" w:sz="4" w:space="0"/>
                    <w:bottom w:val="single" w:color="auto" w:sz="4" w:space="0"/>
                  </w:tcBorders>
                  <w:vAlign w:val="center"/>
                </w:tcPr>
                <w:p>
                  <w:pPr>
                    <w:jc w:val="center"/>
                    <w:rPr>
                      <w:szCs w:val="21"/>
                    </w:rPr>
                  </w:pPr>
                  <w:r>
                    <w:rPr>
                      <w:szCs w:val="21"/>
                    </w:rPr>
                    <w:t>3</w:t>
                  </w:r>
                </w:p>
              </w:tc>
              <w:tc>
                <w:tcPr>
                  <w:tcW w:w="1147" w:type="dxa"/>
                  <w:vMerge w:val="continue"/>
                  <w:vAlign w:val="center"/>
                </w:tcPr>
                <w:p>
                  <w:pPr>
                    <w:jc w:val="center"/>
                    <w:rPr>
                      <w:rFonts w:hAnsi="宋体"/>
                      <w:szCs w:val="21"/>
                    </w:rPr>
                  </w:pPr>
                </w:p>
              </w:tc>
              <w:tc>
                <w:tcPr>
                  <w:tcW w:w="1475" w:type="dxa"/>
                  <w:tcBorders>
                    <w:top w:val="single" w:color="auto" w:sz="4" w:space="0"/>
                    <w:bottom w:val="single" w:color="auto" w:sz="4" w:space="0"/>
                  </w:tcBorders>
                  <w:vAlign w:val="center"/>
                </w:tcPr>
                <w:p>
                  <w:pPr>
                    <w:jc w:val="center"/>
                    <w:rPr>
                      <w:szCs w:val="21"/>
                    </w:rPr>
                  </w:pPr>
                  <w:r>
                    <w:rPr>
                      <w:szCs w:val="21"/>
                    </w:rPr>
                    <w:t>回火炉</w:t>
                  </w:r>
                </w:p>
              </w:tc>
              <w:tc>
                <w:tcPr>
                  <w:tcW w:w="1328" w:type="dxa"/>
                  <w:vAlign w:val="center"/>
                </w:tcPr>
                <w:p>
                  <w:pPr>
                    <w:jc w:val="center"/>
                    <w:rPr>
                      <w:szCs w:val="21"/>
                    </w:rPr>
                  </w:pPr>
                  <w:r>
                    <w:rPr>
                      <w:rFonts w:hint="eastAsia"/>
                      <w:szCs w:val="21"/>
                    </w:rPr>
                    <w:t>1t</w:t>
                  </w:r>
                  <w:r>
                    <w:rPr>
                      <w:rFonts w:hint="eastAsia"/>
                      <w:szCs w:val="21"/>
                      <w:shd w:val="clear" w:color="auto" w:fill="FFFFFF"/>
                    </w:rPr>
                    <w:t>型</w:t>
                  </w:r>
                </w:p>
              </w:tc>
              <w:tc>
                <w:tcPr>
                  <w:tcW w:w="1078" w:type="dxa"/>
                  <w:vAlign w:val="center"/>
                </w:tcPr>
                <w:p>
                  <w:pPr>
                    <w:jc w:val="center"/>
                    <w:rPr>
                      <w:szCs w:val="21"/>
                    </w:rPr>
                  </w:pPr>
                  <w:r>
                    <w:rPr>
                      <w:rFonts w:hint="eastAsia"/>
                      <w:szCs w:val="21"/>
                    </w:rPr>
                    <w:t>2</w:t>
                  </w:r>
                </w:p>
              </w:tc>
              <w:tc>
                <w:tcPr>
                  <w:tcW w:w="1197" w:type="dxa"/>
                  <w:vAlign w:val="center"/>
                </w:tcPr>
                <w:p>
                  <w:pPr>
                    <w:jc w:val="center"/>
                    <w:rPr>
                      <w:szCs w:val="21"/>
                    </w:rPr>
                  </w:pPr>
                  <w:r>
                    <w:rPr>
                      <w:rFonts w:hint="eastAsia"/>
                      <w:szCs w:val="21"/>
                    </w:rPr>
                    <w:t>1t</w:t>
                  </w:r>
                  <w:r>
                    <w:rPr>
                      <w:rFonts w:hint="eastAsia"/>
                      <w:szCs w:val="21"/>
                      <w:shd w:val="clear" w:color="auto" w:fill="FFFFFF"/>
                    </w:rPr>
                    <w:t>型</w:t>
                  </w:r>
                </w:p>
              </w:tc>
              <w:tc>
                <w:tcPr>
                  <w:tcW w:w="1147" w:type="dxa"/>
                  <w:vAlign w:val="center"/>
                </w:tcPr>
                <w:p>
                  <w:pPr>
                    <w:jc w:val="center"/>
                    <w:rPr>
                      <w:szCs w:val="21"/>
                    </w:rPr>
                  </w:pPr>
                  <w:r>
                    <w:rPr>
                      <w:rFonts w:hint="eastAsia"/>
                      <w:szCs w:val="21"/>
                    </w:rPr>
                    <w:t>2</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szCs w:val="21"/>
                    </w:rPr>
                    <w:t>4</w:t>
                  </w:r>
                </w:p>
              </w:tc>
              <w:tc>
                <w:tcPr>
                  <w:tcW w:w="1147" w:type="dxa"/>
                  <w:vMerge w:val="continue"/>
                  <w:vAlign w:val="center"/>
                </w:tcPr>
                <w:p>
                  <w:pPr>
                    <w:jc w:val="center"/>
                    <w:rPr>
                      <w:rFonts w:hAnsi="宋体"/>
                      <w:szCs w:val="21"/>
                    </w:rPr>
                  </w:pPr>
                </w:p>
              </w:tc>
              <w:tc>
                <w:tcPr>
                  <w:tcW w:w="1475" w:type="dxa"/>
                  <w:tcBorders>
                    <w:top w:val="single" w:color="auto" w:sz="4" w:space="0"/>
                  </w:tcBorders>
                  <w:vAlign w:val="center"/>
                </w:tcPr>
                <w:p>
                  <w:pPr>
                    <w:jc w:val="center"/>
                    <w:rPr>
                      <w:szCs w:val="21"/>
                    </w:rPr>
                  </w:pPr>
                  <w:r>
                    <w:rPr>
                      <w:szCs w:val="21"/>
                    </w:rPr>
                    <w:t>真空清洗剂</w:t>
                  </w:r>
                </w:p>
              </w:tc>
              <w:tc>
                <w:tcPr>
                  <w:tcW w:w="1328" w:type="dxa"/>
                  <w:vAlign w:val="center"/>
                </w:tcPr>
                <w:p>
                  <w:pPr>
                    <w:jc w:val="center"/>
                    <w:rPr>
                      <w:szCs w:val="21"/>
                    </w:rPr>
                  </w:pPr>
                  <w:r>
                    <w:rPr>
                      <w:rFonts w:hint="eastAsia"/>
                      <w:szCs w:val="21"/>
                    </w:rPr>
                    <w:t>1t</w:t>
                  </w:r>
                  <w:r>
                    <w:rPr>
                      <w:rFonts w:hint="eastAsia"/>
                      <w:szCs w:val="21"/>
                      <w:shd w:val="clear" w:color="auto" w:fill="FFFFFF"/>
                    </w:rPr>
                    <w:t>型</w:t>
                  </w:r>
                </w:p>
              </w:tc>
              <w:tc>
                <w:tcPr>
                  <w:tcW w:w="1078" w:type="dxa"/>
                  <w:vAlign w:val="center"/>
                </w:tcPr>
                <w:p>
                  <w:pPr>
                    <w:jc w:val="center"/>
                    <w:rPr>
                      <w:szCs w:val="21"/>
                    </w:rPr>
                  </w:pPr>
                  <w:r>
                    <w:rPr>
                      <w:rFonts w:hint="eastAsia"/>
                      <w:szCs w:val="21"/>
                    </w:rPr>
                    <w:t>1</w:t>
                  </w:r>
                </w:p>
              </w:tc>
              <w:tc>
                <w:tcPr>
                  <w:tcW w:w="1197" w:type="dxa"/>
                  <w:vAlign w:val="center"/>
                </w:tcPr>
                <w:p>
                  <w:pPr>
                    <w:jc w:val="center"/>
                    <w:rPr>
                      <w:szCs w:val="21"/>
                    </w:rPr>
                  </w:pPr>
                  <w:r>
                    <w:rPr>
                      <w:rFonts w:hint="eastAsia"/>
                      <w:szCs w:val="21"/>
                    </w:rPr>
                    <w:t>1t</w:t>
                  </w:r>
                  <w:r>
                    <w:rPr>
                      <w:rFonts w:hint="eastAsia"/>
                      <w:szCs w:val="21"/>
                      <w:shd w:val="clear" w:color="auto" w:fill="FFFFFF"/>
                    </w:rPr>
                    <w:t>型</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szCs w:val="21"/>
                    </w:rPr>
                    <w:t>5</w:t>
                  </w:r>
                </w:p>
              </w:tc>
              <w:tc>
                <w:tcPr>
                  <w:tcW w:w="1147" w:type="dxa"/>
                  <w:vMerge w:val="continue"/>
                  <w:vAlign w:val="center"/>
                </w:tcPr>
                <w:p>
                  <w:pPr>
                    <w:jc w:val="center"/>
                    <w:rPr>
                      <w:rFonts w:hAnsi="宋体"/>
                      <w:szCs w:val="21"/>
                    </w:rPr>
                  </w:pPr>
                </w:p>
              </w:tc>
              <w:tc>
                <w:tcPr>
                  <w:tcW w:w="1475" w:type="dxa"/>
                  <w:tcBorders>
                    <w:bottom w:val="single" w:color="auto" w:sz="4" w:space="0"/>
                  </w:tcBorders>
                  <w:vAlign w:val="center"/>
                </w:tcPr>
                <w:p>
                  <w:pPr>
                    <w:jc w:val="center"/>
                    <w:rPr>
                      <w:szCs w:val="21"/>
                    </w:rPr>
                  </w:pPr>
                  <w:r>
                    <w:rPr>
                      <w:szCs w:val="21"/>
                    </w:rPr>
                    <w:t>深冷处理机</w:t>
                  </w:r>
                </w:p>
              </w:tc>
              <w:tc>
                <w:tcPr>
                  <w:tcW w:w="1328" w:type="dxa"/>
                  <w:vAlign w:val="center"/>
                </w:tcPr>
                <w:p>
                  <w:pPr>
                    <w:jc w:val="center"/>
                    <w:rPr>
                      <w:szCs w:val="21"/>
                    </w:rPr>
                  </w:pPr>
                  <w:r>
                    <w:rPr>
                      <w:rFonts w:hint="eastAsia"/>
                      <w:szCs w:val="21"/>
                    </w:rPr>
                    <w:t>1t</w:t>
                  </w:r>
                  <w:r>
                    <w:rPr>
                      <w:rFonts w:hint="eastAsia"/>
                      <w:szCs w:val="21"/>
                      <w:shd w:val="clear" w:color="auto" w:fill="FFFFFF"/>
                    </w:rPr>
                    <w:t>型</w:t>
                  </w:r>
                </w:p>
              </w:tc>
              <w:tc>
                <w:tcPr>
                  <w:tcW w:w="1078" w:type="dxa"/>
                  <w:vAlign w:val="center"/>
                </w:tcPr>
                <w:p>
                  <w:pPr>
                    <w:jc w:val="center"/>
                    <w:rPr>
                      <w:szCs w:val="21"/>
                    </w:rPr>
                  </w:pPr>
                  <w:r>
                    <w:rPr>
                      <w:rFonts w:hint="eastAsia"/>
                      <w:szCs w:val="21"/>
                    </w:rPr>
                    <w:t>1</w:t>
                  </w:r>
                </w:p>
              </w:tc>
              <w:tc>
                <w:tcPr>
                  <w:tcW w:w="1197" w:type="dxa"/>
                  <w:vAlign w:val="center"/>
                </w:tcPr>
                <w:p>
                  <w:pPr>
                    <w:jc w:val="center"/>
                    <w:rPr>
                      <w:szCs w:val="21"/>
                    </w:rPr>
                  </w:pPr>
                  <w:r>
                    <w:rPr>
                      <w:rFonts w:hint="eastAsia"/>
                      <w:szCs w:val="21"/>
                    </w:rPr>
                    <w:t>1t</w:t>
                  </w:r>
                  <w:r>
                    <w:rPr>
                      <w:rFonts w:hint="eastAsia"/>
                      <w:szCs w:val="21"/>
                      <w:shd w:val="clear" w:color="auto" w:fill="FFFFFF"/>
                    </w:rPr>
                    <w:t>型</w:t>
                  </w:r>
                </w:p>
              </w:tc>
              <w:tc>
                <w:tcPr>
                  <w:tcW w:w="1147" w:type="dxa"/>
                  <w:vAlign w:val="center"/>
                </w:tcPr>
                <w:p>
                  <w:pPr>
                    <w:jc w:val="center"/>
                    <w:rPr>
                      <w:szCs w:val="21"/>
                    </w:rPr>
                  </w:pPr>
                  <w:r>
                    <w:rPr>
                      <w:rFonts w:hint="eastAsia"/>
                      <w:szCs w:val="21"/>
                    </w:rPr>
                    <w:t>1</w:t>
                  </w:r>
                </w:p>
              </w:tc>
              <w:tc>
                <w:tcPr>
                  <w:tcW w:w="906" w:type="dxa"/>
                  <w:tcBorders>
                    <w:bottom w:val="single" w:color="auto" w:sz="4" w:space="0"/>
                  </w:tcBorders>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6</w:t>
                  </w:r>
                </w:p>
              </w:tc>
              <w:tc>
                <w:tcPr>
                  <w:tcW w:w="1147" w:type="dxa"/>
                  <w:vMerge w:val="continue"/>
                  <w:vAlign w:val="center"/>
                </w:tcPr>
                <w:p>
                  <w:pPr>
                    <w:jc w:val="center"/>
                    <w:rPr>
                      <w:rFonts w:hAnsi="宋体"/>
                      <w:szCs w:val="21"/>
                    </w:rPr>
                  </w:pPr>
                </w:p>
              </w:tc>
              <w:tc>
                <w:tcPr>
                  <w:tcW w:w="1475" w:type="dxa"/>
                  <w:vAlign w:val="center"/>
                </w:tcPr>
                <w:p>
                  <w:pPr>
                    <w:jc w:val="center"/>
                    <w:rPr>
                      <w:szCs w:val="21"/>
                    </w:rPr>
                  </w:pPr>
                  <w:r>
                    <w:rPr>
                      <w:szCs w:val="21"/>
                    </w:rPr>
                    <w:t>行车</w:t>
                  </w:r>
                </w:p>
              </w:tc>
              <w:tc>
                <w:tcPr>
                  <w:tcW w:w="1328" w:type="dxa"/>
                  <w:vAlign w:val="center"/>
                </w:tcPr>
                <w:p>
                  <w:pPr>
                    <w:jc w:val="center"/>
                    <w:rPr>
                      <w:szCs w:val="21"/>
                    </w:rPr>
                  </w:pPr>
                  <w:r>
                    <w:rPr>
                      <w:rFonts w:hint="eastAsia"/>
                      <w:szCs w:val="21"/>
                    </w:rPr>
                    <w:t>5t</w:t>
                  </w:r>
                  <w:r>
                    <w:rPr>
                      <w:rFonts w:hint="eastAsia"/>
                      <w:szCs w:val="21"/>
                      <w:shd w:val="clear" w:color="auto" w:fill="FFFFFF"/>
                    </w:rPr>
                    <w:t>型</w:t>
                  </w:r>
                </w:p>
              </w:tc>
              <w:tc>
                <w:tcPr>
                  <w:tcW w:w="1078" w:type="dxa"/>
                  <w:vAlign w:val="center"/>
                </w:tcPr>
                <w:p>
                  <w:pPr>
                    <w:jc w:val="center"/>
                    <w:rPr>
                      <w:szCs w:val="21"/>
                    </w:rPr>
                  </w:pPr>
                  <w:r>
                    <w:rPr>
                      <w:rFonts w:hint="eastAsia"/>
                      <w:szCs w:val="21"/>
                    </w:rPr>
                    <w:t>1</w:t>
                  </w:r>
                </w:p>
              </w:tc>
              <w:tc>
                <w:tcPr>
                  <w:tcW w:w="1197" w:type="dxa"/>
                  <w:vAlign w:val="center"/>
                </w:tcPr>
                <w:p>
                  <w:pPr>
                    <w:jc w:val="center"/>
                    <w:rPr>
                      <w:szCs w:val="21"/>
                    </w:rPr>
                  </w:pPr>
                  <w:r>
                    <w:rPr>
                      <w:rFonts w:hint="eastAsia"/>
                      <w:szCs w:val="21"/>
                    </w:rPr>
                    <w:t>5t</w:t>
                  </w:r>
                  <w:r>
                    <w:rPr>
                      <w:rFonts w:hint="eastAsia"/>
                      <w:szCs w:val="21"/>
                      <w:shd w:val="clear" w:color="auto" w:fill="FFFFFF"/>
                    </w:rPr>
                    <w:t>型</w:t>
                  </w:r>
                </w:p>
              </w:tc>
              <w:tc>
                <w:tcPr>
                  <w:tcW w:w="1147" w:type="dxa"/>
                  <w:vAlign w:val="center"/>
                </w:tcPr>
                <w:p>
                  <w:pPr>
                    <w:jc w:val="center"/>
                    <w:rPr>
                      <w:szCs w:val="21"/>
                    </w:rPr>
                  </w:pPr>
                  <w:r>
                    <w:rPr>
                      <w:rFonts w:hint="eastAsia"/>
                      <w:szCs w:val="21"/>
                    </w:rPr>
                    <w:t xml:space="preserve">1 </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7</w:t>
                  </w:r>
                </w:p>
              </w:tc>
              <w:tc>
                <w:tcPr>
                  <w:tcW w:w="1147" w:type="dxa"/>
                  <w:vMerge w:val="restart"/>
                  <w:vAlign w:val="center"/>
                </w:tcPr>
                <w:p>
                  <w:pPr>
                    <w:jc w:val="center"/>
                    <w:rPr>
                      <w:rFonts w:hAnsi="宋体"/>
                      <w:szCs w:val="21"/>
                    </w:rPr>
                  </w:pPr>
                  <w:r>
                    <w:rPr>
                      <w:rFonts w:hAnsi="宋体"/>
                      <w:szCs w:val="21"/>
                    </w:rPr>
                    <w:t>检验设备</w:t>
                  </w:r>
                </w:p>
              </w:tc>
              <w:tc>
                <w:tcPr>
                  <w:tcW w:w="1475" w:type="dxa"/>
                  <w:vAlign w:val="center"/>
                </w:tcPr>
                <w:p>
                  <w:pPr>
                    <w:jc w:val="center"/>
                    <w:rPr>
                      <w:szCs w:val="21"/>
                    </w:rPr>
                  </w:pPr>
                  <w:r>
                    <w:rPr>
                      <w:szCs w:val="21"/>
                    </w:rPr>
                    <w:t>洛氏硬度计</w:t>
                  </w:r>
                </w:p>
              </w:tc>
              <w:tc>
                <w:tcPr>
                  <w:tcW w:w="1328" w:type="dxa"/>
                  <w:vAlign w:val="center"/>
                </w:tcPr>
                <w:p>
                  <w:pPr>
                    <w:jc w:val="center"/>
                    <w:rPr>
                      <w:bCs/>
                      <w:szCs w:val="21"/>
                    </w:rPr>
                  </w:pPr>
                  <w:r>
                    <w:rPr>
                      <w:rFonts w:hint="eastAsia"/>
                      <w:bCs/>
                      <w:szCs w:val="21"/>
                    </w:rPr>
                    <w:t>3NR</w:t>
                  </w:r>
                </w:p>
              </w:tc>
              <w:tc>
                <w:tcPr>
                  <w:tcW w:w="1078" w:type="dxa"/>
                  <w:vAlign w:val="center"/>
                </w:tcPr>
                <w:p>
                  <w:pPr>
                    <w:jc w:val="center"/>
                    <w:rPr>
                      <w:szCs w:val="21"/>
                    </w:rPr>
                  </w:pPr>
                  <w:r>
                    <w:rPr>
                      <w:rFonts w:hint="eastAsia"/>
                      <w:szCs w:val="21"/>
                    </w:rPr>
                    <w:t>1</w:t>
                  </w:r>
                </w:p>
              </w:tc>
              <w:tc>
                <w:tcPr>
                  <w:tcW w:w="1197" w:type="dxa"/>
                  <w:vAlign w:val="center"/>
                </w:tcPr>
                <w:p>
                  <w:pPr>
                    <w:jc w:val="center"/>
                    <w:rPr>
                      <w:bCs/>
                      <w:szCs w:val="21"/>
                    </w:rPr>
                  </w:pPr>
                  <w:r>
                    <w:rPr>
                      <w:rFonts w:hint="eastAsia"/>
                      <w:bCs/>
                      <w:szCs w:val="21"/>
                    </w:rPr>
                    <w:t>3NR</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8</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维氏表面硬度计</w:t>
                  </w:r>
                </w:p>
              </w:tc>
              <w:tc>
                <w:tcPr>
                  <w:tcW w:w="1328" w:type="dxa"/>
                  <w:vAlign w:val="center"/>
                </w:tcPr>
                <w:p>
                  <w:pPr>
                    <w:jc w:val="center"/>
                    <w:rPr>
                      <w:rFonts w:hAnsi="宋体"/>
                      <w:bCs/>
                      <w:szCs w:val="21"/>
                    </w:rPr>
                  </w:pPr>
                  <w:r>
                    <w:rPr>
                      <w:rFonts w:hint="eastAsia" w:hAnsi="宋体"/>
                      <w:bCs/>
                      <w:szCs w:val="21"/>
                    </w:rPr>
                    <w:t>DVK-1</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DVK-1</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9</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维氏内部硬度计</w:t>
                  </w:r>
                </w:p>
              </w:tc>
              <w:tc>
                <w:tcPr>
                  <w:tcW w:w="1328" w:type="dxa"/>
                  <w:vAlign w:val="center"/>
                </w:tcPr>
                <w:p>
                  <w:pPr>
                    <w:jc w:val="center"/>
                    <w:rPr>
                      <w:rFonts w:hAnsi="宋体"/>
                      <w:bCs/>
                      <w:szCs w:val="21"/>
                    </w:rPr>
                  </w:pPr>
                  <w:r>
                    <w:rPr>
                      <w:rFonts w:hint="eastAsia" w:hAnsi="宋体"/>
                      <w:bCs/>
                      <w:szCs w:val="21"/>
                    </w:rPr>
                    <w:t>DMH-1</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DMH-1</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10</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金相组织显微镜</w:t>
                  </w:r>
                </w:p>
              </w:tc>
              <w:tc>
                <w:tcPr>
                  <w:tcW w:w="1328" w:type="dxa"/>
                  <w:vAlign w:val="center"/>
                </w:tcPr>
                <w:p>
                  <w:pPr>
                    <w:jc w:val="center"/>
                    <w:rPr>
                      <w:rFonts w:hAnsi="宋体"/>
                      <w:bCs/>
                      <w:szCs w:val="21"/>
                    </w:rPr>
                  </w:pPr>
                  <w:r>
                    <w:rPr>
                      <w:rFonts w:hint="eastAsia" w:hAnsi="宋体"/>
                      <w:bCs/>
                      <w:szCs w:val="21"/>
                    </w:rPr>
                    <w:t>XD250</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XD250</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11</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磁性自动检测仪</w:t>
                  </w:r>
                </w:p>
              </w:tc>
              <w:tc>
                <w:tcPr>
                  <w:tcW w:w="1328" w:type="dxa"/>
                  <w:vAlign w:val="center"/>
                </w:tcPr>
                <w:p>
                  <w:pPr>
                    <w:jc w:val="center"/>
                    <w:rPr>
                      <w:rFonts w:hAnsi="宋体"/>
                      <w:bCs/>
                      <w:szCs w:val="21"/>
                    </w:rPr>
                  </w:pPr>
                  <w:r>
                    <w:rPr>
                      <w:rFonts w:hint="eastAsia" w:hAnsi="宋体"/>
                      <w:bCs/>
                      <w:szCs w:val="21"/>
                    </w:rPr>
                    <w:t>K-HC1000</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K-HC1000</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12</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金属切断机</w:t>
                  </w:r>
                </w:p>
              </w:tc>
              <w:tc>
                <w:tcPr>
                  <w:tcW w:w="1328" w:type="dxa"/>
                  <w:vAlign w:val="center"/>
                </w:tcPr>
                <w:p>
                  <w:pPr>
                    <w:jc w:val="center"/>
                    <w:rPr>
                      <w:rFonts w:hAnsi="宋体"/>
                      <w:bCs/>
                      <w:szCs w:val="21"/>
                    </w:rPr>
                  </w:pPr>
                  <w:r>
                    <w:rPr>
                      <w:rFonts w:hint="eastAsia" w:hAnsi="宋体"/>
                      <w:bCs/>
                      <w:szCs w:val="21"/>
                    </w:rPr>
                    <w:t>/</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13</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样品研磨机</w:t>
                  </w:r>
                </w:p>
              </w:tc>
              <w:tc>
                <w:tcPr>
                  <w:tcW w:w="1328" w:type="dxa"/>
                  <w:vAlign w:val="center"/>
                </w:tcPr>
                <w:p>
                  <w:pPr>
                    <w:jc w:val="center"/>
                    <w:rPr>
                      <w:rFonts w:hAnsi="宋体"/>
                      <w:bCs/>
                      <w:szCs w:val="21"/>
                    </w:rPr>
                  </w:pPr>
                  <w:r>
                    <w:rPr>
                      <w:rFonts w:hint="eastAsia" w:hAnsi="宋体"/>
                      <w:bCs/>
                      <w:szCs w:val="21"/>
                    </w:rPr>
                    <w:t>/</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14</w:t>
                  </w:r>
                </w:p>
              </w:tc>
              <w:tc>
                <w:tcPr>
                  <w:tcW w:w="1147" w:type="dxa"/>
                  <w:vMerge w:val="continue"/>
                  <w:vAlign w:val="center"/>
                </w:tcPr>
                <w:p>
                  <w:pPr>
                    <w:jc w:val="center"/>
                    <w:rPr>
                      <w:rFonts w:hAnsi="宋体"/>
                      <w:szCs w:val="21"/>
                    </w:rPr>
                  </w:pPr>
                </w:p>
              </w:tc>
              <w:tc>
                <w:tcPr>
                  <w:tcW w:w="1475" w:type="dxa"/>
                  <w:vAlign w:val="center"/>
                </w:tcPr>
                <w:p>
                  <w:pPr>
                    <w:jc w:val="center"/>
                    <w:rPr>
                      <w:rFonts w:hAnsi="宋体"/>
                      <w:szCs w:val="21"/>
                    </w:rPr>
                  </w:pPr>
                  <w:r>
                    <w:rPr>
                      <w:rFonts w:hAnsi="宋体"/>
                      <w:szCs w:val="21"/>
                    </w:rPr>
                    <w:t>样品嵌入机</w:t>
                  </w:r>
                </w:p>
              </w:tc>
              <w:tc>
                <w:tcPr>
                  <w:tcW w:w="1328" w:type="dxa"/>
                  <w:vAlign w:val="center"/>
                </w:tcPr>
                <w:p>
                  <w:pPr>
                    <w:jc w:val="center"/>
                    <w:rPr>
                      <w:rFonts w:hAnsi="宋体"/>
                      <w:bCs/>
                      <w:szCs w:val="21"/>
                    </w:rPr>
                  </w:pPr>
                  <w:r>
                    <w:rPr>
                      <w:rFonts w:hint="eastAsia" w:hAnsi="宋体"/>
                      <w:bCs/>
                      <w:szCs w:val="21"/>
                    </w:rPr>
                    <w:t>/</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88" w:type="dxa"/>
                  <w:vAlign w:val="center"/>
                </w:tcPr>
                <w:p>
                  <w:pPr>
                    <w:jc w:val="center"/>
                    <w:rPr>
                      <w:szCs w:val="21"/>
                    </w:rPr>
                  </w:pPr>
                  <w:r>
                    <w:rPr>
                      <w:rFonts w:hint="eastAsia"/>
                      <w:szCs w:val="21"/>
                    </w:rPr>
                    <w:t>15</w:t>
                  </w:r>
                </w:p>
              </w:tc>
              <w:tc>
                <w:tcPr>
                  <w:tcW w:w="1147" w:type="dxa"/>
                  <w:vAlign w:val="center"/>
                </w:tcPr>
                <w:p>
                  <w:pPr>
                    <w:jc w:val="center"/>
                    <w:rPr>
                      <w:rFonts w:hAnsi="宋体"/>
                      <w:szCs w:val="21"/>
                    </w:rPr>
                  </w:pPr>
                  <w:r>
                    <w:rPr>
                      <w:rFonts w:hAnsi="宋体"/>
                      <w:szCs w:val="21"/>
                    </w:rPr>
                    <w:t>公用设备</w:t>
                  </w:r>
                </w:p>
              </w:tc>
              <w:tc>
                <w:tcPr>
                  <w:tcW w:w="1475" w:type="dxa"/>
                  <w:vAlign w:val="center"/>
                </w:tcPr>
                <w:p>
                  <w:pPr>
                    <w:jc w:val="center"/>
                    <w:rPr>
                      <w:rFonts w:hAnsi="宋体"/>
                      <w:szCs w:val="21"/>
                    </w:rPr>
                  </w:pPr>
                  <w:r>
                    <w:rPr>
                      <w:rFonts w:hAnsi="宋体"/>
                      <w:szCs w:val="21"/>
                    </w:rPr>
                    <w:t>冷却塔</w:t>
                  </w:r>
                </w:p>
              </w:tc>
              <w:tc>
                <w:tcPr>
                  <w:tcW w:w="1328" w:type="dxa"/>
                  <w:vAlign w:val="center"/>
                </w:tcPr>
                <w:p>
                  <w:pPr>
                    <w:jc w:val="center"/>
                    <w:rPr>
                      <w:rFonts w:hAnsi="宋体"/>
                      <w:bCs/>
                      <w:szCs w:val="21"/>
                    </w:rPr>
                  </w:pPr>
                  <w:r>
                    <w:rPr>
                      <w:rFonts w:hint="eastAsia" w:hAnsi="宋体"/>
                      <w:bCs/>
                      <w:szCs w:val="21"/>
                    </w:rPr>
                    <w:t>153m</w:t>
                  </w:r>
                  <w:r>
                    <w:rPr>
                      <w:rFonts w:hint="eastAsia" w:hAnsi="宋体"/>
                      <w:bCs/>
                      <w:szCs w:val="21"/>
                      <w:vertAlign w:val="superscript"/>
                    </w:rPr>
                    <w:t>3</w:t>
                  </w:r>
                  <w:r>
                    <w:rPr>
                      <w:rFonts w:hint="eastAsia" w:hAnsi="宋体"/>
                      <w:bCs/>
                      <w:szCs w:val="21"/>
                    </w:rPr>
                    <w:t>/h</w:t>
                  </w:r>
                </w:p>
              </w:tc>
              <w:tc>
                <w:tcPr>
                  <w:tcW w:w="1078" w:type="dxa"/>
                  <w:vAlign w:val="center"/>
                </w:tcPr>
                <w:p>
                  <w:pPr>
                    <w:jc w:val="center"/>
                    <w:rPr>
                      <w:szCs w:val="21"/>
                    </w:rPr>
                  </w:pPr>
                  <w:r>
                    <w:rPr>
                      <w:rFonts w:hint="eastAsia"/>
                      <w:szCs w:val="21"/>
                    </w:rPr>
                    <w:t>1</w:t>
                  </w:r>
                </w:p>
              </w:tc>
              <w:tc>
                <w:tcPr>
                  <w:tcW w:w="1197" w:type="dxa"/>
                  <w:vAlign w:val="center"/>
                </w:tcPr>
                <w:p>
                  <w:pPr>
                    <w:jc w:val="center"/>
                    <w:rPr>
                      <w:rFonts w:hAnsi="宋体"/>
                      <w:bCs/>
                      <w:szCs w:val="21"/>
                    </w:rPr>
                  </w:pPr>
                  <w:r>
                    <w:rPr>
                      <w:rFonts w:hint="eastAsia" w:hAnsi="宋体"/>
                      <w:bCs/>
                      <w:szCs w:val="21"/>
                    </w:rPr>
                    <w:t>153m</w:t>
                  </w:r>
                  <w:r>
                    <w:rPr>
                      <w:rFonts w:hint="eastAsia" w:hAnsi="宋体"/>
                      <w:bCs/>
                      <w:szCs w:val="21"/>
                      <w:vertAlign w:val="superscript"/>
                    </w:rPr>
                    <w:t>3</w:t>
                  </w:r>
                  <w:r>
                    <w:rPr>
                      <w:rFonts w:hint="eastAsia" w:hAnsi="宋体"/>
                      <w:bCs/>
                      <w:szCs w:val="21"/>
                    </w:rPr>
                    <w:t>/h</w:t>
                  </w:r>
                </w:p>
              </w:tc>
              <w:tc>
                <w:tcPr>
                  <w:tcW w:w="1147" w:type="dxa"/>
                  <w:vAlign w:val="center"/>
                </w:tcPr>
                <w:p>
                  <w:pPr>
                    <w:jc w:val="center"/>
                    <w:rPr>
                      <w:szCs w:val="21"/>
                    </w:rPr>
                  </w:pPr>
                  <w:r>
                    <w:rPr>
                      <w:rFonts w:hint="eastAsia"/>
                      <w:szCs w:val="21"/>
                    </w:rPr>
                    <w:t>1</w:t>
                  </w:r>
                </w:p>
              </w:tc>
              <w:tc>
                <w:tcPr>
                  <w:tcW w:w="906" w:type="dxa"/>
                  <w:vAlign w:val="center"/>
                </w:tcPr>
                <w:p>
                  <w:pPr>
                    <w:jc w:val="center"/>
                    <w:rPr>
                      <w:szCs w:val="21"/>
                    </w:rPr>
                  </w:pPr>
                  <w:r>
                    <w:rPr>
                      <w:szCs w:val="21"/>
                    </w:rPr>
                    <w:t>一致</w:t>
                  </w:r>
                </w:p>
              </w:tc>
            </w:tr>
          </w:tbl>
          <w:p>
            <w:pPr>
              <w:spacing w:line="360" w:lineRule="auto"/>
              <w:ind w:firstLine="480" w:firstLineChars="200"/>
              <w:rPr>
                <w:sz w:val="24"/>
              </w:rPr>
            </w:pPr>
            <w:r>
              <w:rPr>
                <w:sz w:val="24"/>
              </w:rPr>
              <w:t>本项目主要原辅料以及设计消耗量、调试期间消耗量见表2-</w:t>
            </w:r>
            <w:r>
              <w:rPr>
                <w:rFonts w:hint="eastAsia"/>
                <w:sz w:val="24"/>
              </w:rPr>
              <w:t>5</w:t>
            </w:r>
            <w:r>
              <w:rPr>
                <w:sz w:val="24"/>
              </w:rPr>
              <w:t>。</w:t>
            </w:r>
          </w:p>
          <w:p>
            <w:pPr>
              <w:jc w:val="center"/>
              <w:rPr>
                <w:b/>
                <w:bCs/>
                <w:sz w:val="24"/>
              </w:rPr>
            </w:pPr>
            <w:r>
              <w:rPr>
                <w:b/>
                <w:bCs/>
                <w:sz w:val="24"/>
              </w:rPr>
              <w:t>表2-</w:t>
            </w:r>
            <w:r>
              <w:rPr>
                <w:rFonts w:hint="eastAsia"/>
                <w:b/>
                <w:bCs/>
                <w:sz w:val="24"/>
              </w:rPr>
              <w:t>5</w:t>
            </w:r>
            <w:r>
              <w:rPr>
                <w:b/>
                <w:bCs/>
                <w:sz w:val="24"/>
              </w:rPr>
              <w:t xml:space="preserve">  主要原辅材料消耗一览表</w:t>
            </w:r>
          </w:p>
          <w:tbl>
            <w:tblPr>
              <w:tblStyle w:val="18"/>
              <w:tblW w:w="886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97"/>
              <w:gridCol w:w="1917"/>
              <w:gridCol w:w="1181"/>
              <w:gridCol w:w="1917"/>
              <w:gridCol w:w="1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bottom w:val="single" w:color="auto" w:sz="4" w:space="0"/>
                  </w:tcBorders>
                  <w:vAlign w:val="center"/>
                </w:tcPr>
                <w:p>
                  <w:pPr>
                    <w:jc w:val="center"/>
                    <w:rPr>
                      <w:b/>
                      <w:bCs/>
                      <w:szCs w:val="21"/>
                    </w:rPr>
                  </w:pPr>
                  <w:r>
                    <w:rPr>
                      <w:rFonts w:hAnsi="宋体"/>
                      <w:b/>
                      <w:bCs/>
                      <w:szCs w:val="21"/>
                    </w:rPr>
                    <w:t>序号</w:t>
                  </w:r>
                </w:p>
              </w:tc>
              <w:tc>
                <w:tcPr>
                  <w:tcW w:w="1497" w:type="dxa"/>
                  <w:tcBorders>
                    <w:bottom w:val="single" w:color="auto" w:sz="4" w:space="0"/>
                  </w:tcBorders>
                  <w:tcMar>
                    <w:top w:w="0" w:type="dxa"/>
                    <w:left w:w="0" w:type="dxa"/>
                    <w:right w:w="0" w:type="dxa"/>
                  </w:tcMar>
                  <w:vAlign w:val="center"/>
                </w:tcPr>
                <w:p>
                  <w:pPr>
                    <w:jc w:val="center"/>
                    <w:rPr>
                      <w:b/>
                      <w:bCs/>
                      <w:szCs w:val="21"/>
                    </w:rPr>
                  </w:pPr>
                  <w:r>
                    <w:rPr>
                      <w:rFonts w:hAnsi="宋体"/>
                      <w:b/>
                      <w:bCs/>
                      <w:szCs w:val="21"/>
                    </w:rPr>
                    <w:t>原辅材料名称</w:t>
                  </w:r>
                </w:p>
              </w:tc>
              <w:tc>
                <w:tcPr>
                  <w:tcW w:w="1917" w:type="dxa"/>
                  <w:tcBorders>
                    <w:bottom w:val="single" w:color="auto" w:sz="4" w:space="0"/>
                  </w:tcBorders>
                  <w:vAlign w:val="center"/>
                </w:tcPr>
                <w:p>
                  <w:pPr>
                    <w:jc w:val="center"/>
                    <w:rPr>
                      <w:rFonts w:hAnsi="宋体"/>
                      <w:b/>
                      <w:bCs/>
                      <w:szCs w:val="21"/>
                    </w:rPr>
                  </w:pPr>
                  <w:r>
                    <w:rPr>
                      <w:rFonts w:hAnsi="宋体"/>
                      <w:b/>
                      <w:bCs/>
                      <w:szCs w:val="21"/>
                    </w:rPr>
                    <w:t>材质</w:t>
                  </w:r>
                  <w:r>
                    <w:rPr>
                      <w:rFonts w:hint="eastAsia" w:hAnsi="宋体"/>
                      <w:b/>
                      <w:bCs/>
                      <w:szCs w:val="21"/>
                    </w:rPr>
                    <w:t>/</w:t>
                  </w:r>
                  <w:r>
                    <w:rPr>
                      <w:rFonts w:hAnsi="宋体"/>
                      <w:b/>
                      <w:bCs/>
                      <w:szCs w:val="21"/>
                    </w:rPr>
                    <w:t>规格</w:t>
                  </w:r>
                </w:p>
              </w:tc>
              <w:tc>
                <w:tcPr>
                  <w:tcW w:w="1181" w:type="dxa"/>
                  <w:tcBorders>
                    <w:bottom w:val="single" w:color="auto" w:sz="4" w:space="0"/>
                  </w:tcBorders>
                  <w:vAlign w:val="center"/>
                </w:tcPr>
                <w:p>
                  <w:pPr>
                    <w:jc w:val="center"/>
                    <w:rPr>
                      <w:b/>
                      <w:bCs/>
                      <w:szCs w:val="21"/>
                    </w:rPr>
                  </w:pPr>
                  <w:r>
                    <w:rPr>
                      <w:rFonts w:hAnsi="宋体"/>
                      <w:b/>
                      <w:bCs/>
                      <w:szCs w:val="21"/>
                    </w:rPr>
                    <w:t>环评审批设计消耗量</w:t>
                  </w:r>
                </w:p>
              </w:tc>
              <w:tc>
                <w:tcPr>
                  <w:tcW w:w="1917" w:type="dxa"/>
                  <w:tcBorders>
                    <w:bottom w:val="single" w:color="auto" w:sz="4" w:space="0"/>
                  </w:tcBorders>
                  <w:vAlign w:val="center"/>
                </w:tcPr>
                <w:p>
                  <w:pPr>
                    <w:jc w:val="center"/>
                    <w:rPr>
                      <w:b/>
                      <w:bCs/>
                      <w:szCs w:val="21"/>
                    </w:rPr>
                  </w:pPr>
                  <w:r>
                    <w:rPr>
                      <w:rFonts w:hint="eastAsia" w:hAnsi="宋体"/>
                      <w:b/>
                      <w:bCs/>
                      <w:szCs w:val="21"/>
                    </w:rPr>
                    <w:t>2018年8月~2019年3月</w:t>
                  </w:r>
                  <w:r>
                    <w:rPr>
                      <w:rFonts w:hAnsi="宋体"/>
                      <w:b/>
                      <w:bCs/>
                      <w:szCs w:val="21"/>
                    </w:rPr>
                    <w:t>消耗量</w:t>
                  </w:r>
                </w:p>
              </w:tc>
              <w:tc>
                <w:tcPr>
                  <w:tcW w:w="1674" w:type="dxa"/>
                  <w:tcBorders>
                    <w:bottom w:val="single" w:color="auto" w:sz="4" w:space="0"/>
                  </w:tcBorders>
                  <w:vAlign w:val="center"/>
                </w:tcPr>
                <w:p>
                  <w:pPr>
                    <w:jc w:val="center"/>
                    <w:rPr>
                      <w:b/>
                      <w:bCs/>
                      <w:szCs w:val="21"/>
                    </w:rPr>
                  </w:pPr>
                  <w:r>
                    <w:rPr>
                      <w:rFonts w:hAnsi="宋体"/>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1</w:t>
                  </w:r>
                </w:p>
              </w:tc>
              <w:tc>
                <w:tcPr>
                  <w:tcW w:w="1497" w:type="dxa"/>
                  <w:vMerge w:val="restart"/>
                  <w:tcMar>
                    <w:top w:w="0" w:type="dxa"/>
                    <w:left w:w="0" w:type="dxa"/>
                    <w:right w:w="0" w:type="dxa"/>
                  </w:tcMar>
                  <w:vAlign w:val="center"/>
                </w:tcPr>
                <w:p>
                  <w:pPr>
                    <w:jc w:val="center"/>
                    <w:rPr>
                      <w:szCs w:val="21"/>
                    </w:rPr>
                  </w:pPr>
                  <w:r>
                    <w:rPr>
                      <w:rFonts w:hint="eastAsia"/>
                      <w:szCs w:val="21"/>
                    </w:rPr>
                    <w:t>电磁部件</w:t>
                  </w:r>
                </w:p>
              </w:tc>
              <w:tc>
                <w:tcPr>
                  <w:tcW w:w="1917" w:type="dxa"/>
                  <w:vAlign w:val="center"/>
                </w:tcPr>
                <w:p>
                  <w:pPr>
                    <w:jc w:val="center"/>
                    <w:rPr>
                      <w:szCs w:val="21"/>
                    </w:rPr>
                  </w:pPr>
                  <w:r>
                    <w:rPr>
                      <w:szCs w:val="21"/>
                    </w:rPr>
                    <w:t>低碳素钢</w:t>
                  </w:r>
                </w:p>
              </w:tc>
              <w:tc>
                <w:tcPr>
                  <w:tcW w:w="1181" w:type="dxa"/>
                  <w:tcBorders>
                    <w:top w:val="single" w:color="auto" w:sz="4" w:space="0"/>
                    <w:bottom w:val="single" w:color="auto" w:sz="4" w:space="0"/>
                  </w:tcBorders>
                  <w:vAlign w:val="center"/>
                </w:tcPr>
                <w:p>
                  <w:pPr>
                    <w:jc w:val="center"/>
                    <w:rPr>
                      <w:szCs w:val="21"/>
                    </w:rPr>
                  </w:pPr>
                  <w:r>
                    <w:rPr>
                      <w:rFonts w:hint="eastAsia"/>
                      <w:szCs w:val="21"/>
                    </w:rPr>
                    <w:t>400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139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2</w:t>
                  </w:r>
                </w:p>
              </w:tc>
              <w:tc>
                <w:tcPr>
                  <w:tcW w:w="1497" w:type="dxa"/>
                  <w:vMerge w:val="continue"/>
                  <w:tcMar>
                    <w:top w:w="0" w:type="dxa"/>
                    <w:left w:w="0" w:type="dxa"/>
                    <w:right w:w="0" w:type="dxa"/>
                  </w:tcMar>
                  <w:vAlign w:val="center"/>
                </w:tcPr>
                <w:p>
                  <w:pPr>
                    <w:jc w:val="center"/>
                    <w:rPr>
                      <w:szCs w:val="21"/>
                    </w:rPr>
                  </w:pPr>
                </w:p>
              </w:tc>
              <w:tc>
                <w:tcPr>
                  <w:tcW w:w="1917" w:type="dxa"/>
                  <w:vAlign w:val="center"/>
                </w:tcPr>
                <w:p>
                  <w:pPr>
                    <w:jc w:val="center"/>
                    <w:rPr>
                      <w:szCs w:val="21"/>
                    </w:rPr>
                  </w:pPr>
                  <w:r>
                    <w:rPr>
                      <w:szCs w:val="21"/>
                    </w:rPr>
                    <w:t>低碳不锈钢</w:t>
                  </w:r>
                </w:p>
              </w:tc>
              <w:tc>
                <w:tcPr>
                  <w:tcW w:w="1181" w:type="dxa"/>
                  <w:tcBorders>
                    <w:top w:val="single" w:color="auto" w:sz="4" w:space="0"/>
                    <w:bottom w:val="single" w:color="auto" w:sz="4" w:space="0"/>
                  </w:tcBorders>
                  <w:vAlign w:val="center"/>
                </w:tcPr>
                <w:p>
                  <w:pPr>
                    <w:jc w:val="center"/>
                    <w:rPr>
                      <w:szCs w:val="21"/>
                    </w:rPr>
                  </w:pPr>
                  <w:r>
                    <w:rPr>
                      <w:rFonts w:hint="eastAsia"/>
                      <w:szCs w:val="21"/>
                    </w:rPr>
                    <w:t>400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139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3</w:t>
                  </w:r>
                </w:p>
              </w:tc>
              <w:tc>
                <w:tcPr>
                  <w:tcW w:w="1497" w:type="dxa"/>
                  <w:vMerge w:val="restart"/>
                  <w:tcMar>
                    <w:top w:w="0" w:type="dxa"/>
                    <w:left w:w="0" w:type="dxa"/>
                    <w:right w:w="0" w:type="dxa"/>
                  </w:tcMar>
                  <w:vAlign w:val="center"/>
                </w:tcPr>
                <w:p>
                  <w:pPr>
                    <w:jc w:val="center"/>
                    <w:rPr>
                      <w:szCs w:val="21"/>
                    </w:rPr>
                  </w:pPr>
                  <w:r>
                    <w:rPr>
                      <w:szCs w:val="21"/>
                    </w:rPr>
                    <w:t>功能部件</w:t>
                  </w:r>
                </w:p>
              </w:tc>
              <w:tc>
                <w:tcPr>
                  <w:tcW w:w="1917" w:type="dxa"/>
                  <w:vAlign w:val="center"/>
                </w:tcPr>
                <w:p>
                  <w:pPr>
                    <w:jc w:val="center"/>
                    <w:rPr>
                      <w:szCs w:val="21"/>
                    </w:rPr>
                  </w:pPr>
                  <w:r>
                    <w:rPr>
                      <w:szCs w:val="21"/>
                    </w:rPr>
                    <w:t>高碳不锈钢</w:t>
                  </w:r>
                </w:p>
              </w:tc>
              <w:tc>
                <w:tcPr>
                  <w:tcW w:w="1181" w:type="dxa"/>
                  <w:tcBorders>
                    <w:top w:val="single" w:color="auto" w:sz="4" w:space="0"/>
                    <w:bottom w:val="single" w:color="auto" w:sz="4" w:space="0"/>
                  </w:tcBorders>
                  <w:vAlign w:val="center"/>
                </w:tcPr>
                <w:p>
                  <w:pPr>
                    <w:jc w:val="center"/>
                    <w:rPr>
                      <w:szCs w:val="21"/>
                    </w:rPr>
                  </w:pPr>
                  <w:r>
                    <w:rPr>
                      <w:rFonts w:hint="eastAsia"/>
                      <w:szCs w:val="21"/>
                    </w:rPr>
                    <w:t>400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139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4</w:t>
                  </w:r>
                </w:p>
              </w:tc>
              <w:tc>
                <w:tcPr>
                  <w:tcW w:w="1497" w:type="dxa"/>
                  <w:vMerge w:val="continue"/>
                  <w:tcMar>
                    <w:top w:w="0" w:type="dxa"/>
                    <w:left w:w="0" w:type="dxa"/>
                    <w:right w:w="0" w:type="dxa"/>
                  </w:tcMar>
                  <w:vAlign w:val="center"/>
                </w:tcPr>
                <w:p>
                  <w:pPr>
                    <w:jc w:val="center"/>
                    <w:rPr>
                      <w:szCs w:val="21"/>
                    </w:rPr>
                  </w:pPr>
                </w:p>
              </w:tc>
              <w:tc>
                <w:tcPr>
                  <w:tcW w:w="1917" w:type="dxa"/>
                  <w:vAlign w:val="center"/>
                </w:tcPr>
                <w:p>
                  <w:pPr>
                    <w:jc w:val="center"/>
                    <w:rPr>
                      <w:szCs w:val="21"/>
                    </w:rPr>
                  </w:pPr>
                  <w:r>
                    <w:rPr>
                      <w:szCs w:val="21"/>
                    </w:rPr>
                    <w:t>磨具钢</w:t>
                  </w:r>
                </w:p>
              </w:tc>
              <w:tc>
                <w:tcPr>
                  <w:tcW w:w="1181" w:type="dxa"/>
                  <w:tcBorders>
                    <w:top w:val="single" w:color="auto" w:sz="4" w:space="0"/>
                    <w:bottom w:val="single" w:color="auto" w:sz="4" w:space="0"/>
                  </w:tcBorders>
                  <w:vAlign w:val="center"/>
                </w:tcPr>
                <w:p>
                  <w:pPr>
                    <w:jc w:val="center"/>
                    <w:rPr>
                      <w:szCs w:val="21"/>
                    </w:rPr>
                  </w:pPr>
                  <w:r>
                    <w:rPr>
                      <w:rFonts w:hint="eastAsia"/>
                      <w:szCs w:val="21"/>
                    </w:rPr>
                    <w:t>400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139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5</w:t>
                  </w:r>
                </w:p>
              </w:tc>
              <w:tc>
                <w:tcPr>
                  <w:tcW w:w="1497" w:type="dxa"/>
                  <w:vMerge w:val="continue"/>
                  <w:tcMar>
                    <w:top w:w="0" w:type="dxa"/>
                    <w:left w:w="0" w:type="dxa"/>
                    <w:right w:w="0" w:type="dxa"/>
                  </w:tcMar>
                  <w:vAlign w:val="center"/>
                </w:tcPr>
                <w:p>
                  <w:pPr>
                    <w:jc w:val="center"/>
                    <w:rPr>
                      <w:szCs w:val="21"/>
                    </w:rPr>
                  </w:pPr>
                </w:p>
              </w:tc>
              <w:tc>
                <w:tcPr>
                  <w:tcW w:w="1917" w:type="dxa"/>
                  <w:vAlign w:val="center"/>
                </w:tcPr>
                <w:p>
                  <w:pPr>
                    <w:jc w:val="center"/>
                    <w:rPr>
                      <w:szCs w:val="21"/>
                    </w:rPr>
                  </w:pPr>
                  <w:r>
                    <w:rPr>
                      <w:szCs w:val="21"/>
                    </w:rPr>
                    <w:t>工具钢</w:t>
                  </w:r>
                </w:p>
              </w:tc>
              <w:tc>
                <w:tcPr>
                  <w:tcW w:w="1181" w:type="dxa"/>
                  <w:tcBorders>
                    <w:top w:val="single" w:color="auto" w:sz="4" w:space="0"/>
                    <w:bottom w:val="single" w:color="auto" w:sz="4" w:space="0"/>
                  </w:tcBorders>
                  <w:vAlign w:val="center"/>
                </w:tcPr>
                <w:p>
                  <w:pPr>
                    <w:jc w:val="center"/>
                    <w:rPr>
                      <w:szCs w:val="21"/>
                    </w:rPr>
                  </w:pPr>
                  <w:r>
                    <w:rPr>
                      <w:rFonts w:hint="eastAsia"/>
                      <w:szCs w:val="21"/>
                    </w:rPr>
                    <w:t>400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139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6</w:t>
                  </w:r>
                </w:p>
              </w:tc>
              <w:tc>
                <w:tcPr>
                  <w:tcW w:w="1497" w:type="dxa"/>
                  <w:vMerge w:val="continue"/>
                  <w:tcMar>
                    <w:top w:w="0" w:type="dxa"/>
                    <w:left w:w="0" w:type="dxa"/>
                    <w:right w:w="0" w:type="dxa"/>
                  </w:tcMar>
                  <w:vAlign w:val="center"/>
                </w:tcPr>
                <w:p>
                  <w:pPr>
                    <w:jc w:val="center"/>
                    <w:rPr>
                      <w:szCs w:val="21"/>
                    </w:rPr>
                  </w:pPr>
                </w:p>
              </w:tc>
              <w:tc>
                <w:tcPr>
                  <w:tcW w:w="1917" w:type="dxa"/>
                  <w:vAlign w:val="center"/>
                </w:tcPr>
                <w:p>
                  <w:pPr>
                    <w:jc w:val="center"/>
                    <w:rPr>
                      <w:szCs w:val="21"/>
                    </w:rPr>
                  </w:pPr>
                  <w:r>
                    <w:rPr>
                      <w:szCs w:val="21"/>
                    </w:rPr>
                    <w:t>各种碳钢</w:t>
                  </w:r>
                </w:p>
              </w:tc>
              <w:tc>
                <w:tcPr>
                  <w:tcW w:w="1181" w:type="dxa"/>
                  <w:tcBorders>
                    <w:top w:val="single" w:color="auto" w:sz="4" w:space="0"/>
                    <w:bottom w:val="single" w:color="auto" w:sz="4" w:space="0"/>
                  </w:tcBorders>
                  <w:vAlign w:val="center"/>
                </w:tcPr>
                <w:p>
                  <w:pPr>
                    <w:jc w:val="center"/>
                    <w:rPr>
                      <w:szCs w:val="21"/>
                    </w:rPr>
                  </w:pPr>
                  <w:r>
                    <w:rPr>
                      <w:rFonts w:hint="eastAsia"/>
                      <w:szCs w:val="21"/>
                    </w:rPr>
                    <w:t>100 t/a</w:t>
                  </w:r>
                </w:p>
              </w:tc>
              <w:tc>
                <w:tcPr>
                  <w:tcW w:w="1917" w:type="dxa"/>
                  <w:tcBorders>
                    <w:top w:val="single" w:color="auto" w:sz="4" w:space="0"/>
                    <w:bottom w:val="single" w:color="auto" w:sz="4" w:space="0"/>
                  </w:tcBorders>
                  <w:vAlign w:val="center"/>
                </w:tcPr>
                <w:p>
                  <w:pPr>
                    <w:jc w:val="center"/>
                    <w:rPr>
                      <w:szCs w:val="21"/>
                    </w:rPr>
                  </w:pPr>
                  <w:r>
                    <w:rPr>
                      <w:rFonts w:hint="eastAsia"/>
                      <w:szCs w:val="21"/>
                    </w:rPr>
                    <w:t>34.7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7</w:t>
                  </w:r>
                </w:p>
              </w:tc>
              <w:tc>
                <w:tcPr>
                  <w:tcW w:w="1497" w:type="dxa"/>
                  <w:tcBorders>
                    <w:bottom w:val="single" w:color="auto" w:sz="4" w:space="0"/>
                  </w:tcBorders>
                  <w:tcMar>
                    <w:top w:w="0" w:type="dxa"/>
                    <w:left w:w="0" w:type="dxa"/>
                    <w:right w:w="0" w:type="dxa"/>
                  </w:tcMar>
                  <w:vAlign w:val="center"/>
                </w:tcPr>
                <w:p>
                  <w:pPr>
                    <w:jc w:val="center"/>
                    <w:rPr>
                      <w:szCs w:val="21"/>
                    </w:rPr>
                  </w:pPr>
                  <w:r>
                    <w:rPr>
                      <w:szCs w:val="21"/>
                    </w:rPr>
                    <w:t>液氮</w:t>
                  </w:r>
                </w:p>
              </w:tc>
              <w:tc>
                <w:tcPr>
                  <w:tcW w:w="1917" w:type="dxa"/>
                  <w:tcBorders>
                    <w:bottom w:val="single" w:color="auto" w:sz="4" w:space="0"/>
                  </w:tcBorders>
                  <w:vAlign w:val="center"/>
                </w:tcPr>
                <w:p>
                  <w:pPr>
                    <w:jc w:val="center"/>
                    <w:rPr>
                      <w:szCs w:val="21"/>
                    </w:rPr>
                  </w:pPr>
                  <w:r>
                    <w:rPr>
                      <w:rFonts w:hint="eastAsia"/>
                      <w:szCs w:val="21"/>
                    </w:rPr>
                    <w:t>99.99%纯液氮</w:t>
                  </w:r>
                </w:p>
              </w:tc>
              <w:tc>
                <w:tcPr>
                  <w:tcW w:w="1181" w:type="dxa"/>
                  <w:tcBorders>
                    <w:top w:val="single" w:color="auto" w:sz="4" w:space="0"/>
                    <w:bottom w:val="single" w:color="auto" w:sz="4" w:space="0"/>
                  </w:tcBorders>
                  <w:vAlign w:val="center"/>
                </w:tcPr>
                <w:p>
                  <w:pPr>
                    <w:jc w:val="center"/>
                    <w:rPr>
                      <w:szCs w:val="21"/>
                    </w:rPr>
                  </w:pPr>
                  <w:r>
                    <w:rPr>
                      <w:rFonts w:hint="eastAsia"/>
                      <w:szCs w:val="21"/>
                    </w:rPr>
                    <w:t>450000</w:t>
                  </w:r>
                  <w:r>
                    <w:rPr>
                      <w:rFonts w:hint="eastAsia" w:hAnsi="宋体"/>
                      <w:szCs w:val="21"/>
                    </w:rPr>
                    <w:t xml:space="preserve"> m</w:t>
                  </w:r>
                  <w:r>
                    <w:rPr>
                      <w:rFonts w:hint="eastAsia" w:hAnsi="宋体"/>
                      <w:szCs w:val="21"/>
                      <w:vertAlign w:val="superscript"/>
                    </w:rPr>
                    <w:t>3</w:t>
                  </w:r>
                  <w:r>
                    <w:rPr>
                      <w:rFonts w:hint="eastAsia"/>
                      <w:szCs w:val="21"/>
                    </w:rPr>
                    <w:t>/a</w:t>
                  </w:r>
                </w:p>
              </w:tc>
              <w:tc>
                <w:tcPr>
                  <w:tcW w:w="1917" w:type="dxa"/>
                  <w:tcBorders>
                    <w:top w:val="single" w:color="auto" w:sz="4" w:space="0"/>
                    <w:bottom w:val="single" w:color="auto" w:sz="4" w:space="0"/>
                  </w:tcBorders>
                  <w:vAlign w:val="center"/>
                </w:tcPr>
                <w:p>
                  <w:pPr>
                    <w:jc w:val="center"/>
                    <w:rPr>
                      <w:szCs w:val="21"/>
                    </w:rPr>
                  </w:pPr>
                  <w:r>
                    <w:rPr>
                      <w:rFonts w:hint="eastAsia"/>
                      <w:szCs w:val="21"/>
                    </w:rPr>
                    <w:t>156000</w:t>
                  </w:r>
                  <w:r>
                    <w:rPr>
                      <w:rFonts w:hint="eastAsia" w:hAnsi="宋体"/>
                      <w:szCs w:val="21"/>
                    </w:rPr>
                    <w:t xml:space="preserve"> m</w:t>
                  </w:r>
                  <w:r>
                    <w:rPr>
                      <w:rFonts w:hint="eastAsia" w:hAnsi="宋体"/>
                      <w:szCs w:val="21"/>
                      <w:vertAlign w:val="superscript"/>
                    </w:rPr>
                    <w:t>3</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szCs w:val="21"/>
                    </w:rPr>
                    <w:t>8</w:t>
                  </w:r>
                </w:p>
              </w:tc>
              <w:tc>
                <w:tcPr>
                  <w:tcW w:w="1497" w:type="dxa"/>
                  <w:tcBorders>
                    <w:top w:val="single" w:color="auto" w:sz="4" w:space="0"/>
                    <w:bottom w:val="single" w:color="auto" w:sz="4" w:space="0"/>
                  </w:tcBorders>
                  <w:tcMar>
                    <w:top w:w="0" w:type="dxa"/>
                    <w:left w:w="0" w:type="dxa"/>
                    <w:right w:w="0" w:type="dxa"/>
                  </w:tcMar>
                  <w:vAlign w:val="center"/>
                </w:tcPr>
                <w:p>
                  <w:pPr>
                    <w:jc w:val="center"/>
                    <w:rPr>
                      <w:szCs w:val="21"/>
                    </w:rPr>
                  </w:pPr>
                  <w:r>
                    <w:rPr>
                      <w:szCs w:val="21"/>
                    </w:rPr>
                    <w:t>清洗液</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99%C</w:t>
                  </w:r>
                  <w:r>
                    <w:rPr>
                      <w:rFonts w:hint="eastAsia" w:hAnsi="宋体"/>
                      <w:szCs w:val="21"/>
                      <w:vertAlign w:val="subscript"/>
                    </w:rPr>
                    <w:t>10</w:t>
                  </w:r>
                  <w:r>
                    <w:rPr>
                      <w:rFonts w:hint="eastAsia" w:hAnsi="宋体"/>
                      <w:szCs w:val="21"/>
                    </w:rPr>
                    <w:t>H</w:t>
                  </w:r>
                  <w:r>
                    <w:rPr>
                      <w:rFonts w:hint="eastAsia" w:hAnsi="宋体"/>
                      <w:szCs w:val="21"/>
                      <w:vertAlign w:val="subscript"/>
                    </w:rPr>
                    <w:t>22</w:t>
                  </w:r>
                </w:p>
              </w:tc>
              <w:tc>
                <w:tcPr>
                  <w:tcW w:w="1181" w:type="dxa"/>
                  <w:tcBorders>
                    <w:top w:val="single" w:color="auto" w:sz="4" w:space="0"/>
                    <w:bottom w:val="single" w:color="auto" w:sz="4" w:space="0"/>
                  </w:tcBorders>
                  <w:vAlign w:val="center"/>
                </w:tcPr>
                <w:p>
                  <w:pPr>
                    <w:jc w:val="center"/>
                    <w:rPr>
                      <w:szCs w:val="21"/>
                    </w:rPr>
                  </w:pPr>
                  <w:r>
                    <w:rPr>
                      <w:rFonts w:hint="eastAsia"/>
                      <w:szCs w:val="21"/>
                    </w:rPr>
                    <w:t>225 L/a</w:t>
                  </w:r>
                </w:p>
              </w:tc>
              <w:tc>
                <w:tcPr>
                  <w:tcW w:w="1917" w:type="dxa"/>
                  <w:tcBorders>
                    <w:top w:val="single" w:color="auto" w:sz="4" w:space="0"/>
                    <w:bottom w:val="single" w:color="auto" w:sz="4" w:space="0"/>
                  </w:tcBorders>
                  <w:vAlign w:val="center"/>
                </w:tcPr>
                <w:p>
                  <w:pPr>
                    <w:jc w:val="center"/>
                    <w:rPr>
                      <w:szCs w:val="21"/>
                    </w:rPr>
                  </w:pPr>
                  <w:r>
                    <w:rPr>
                      <w:rFonts w:hint="eastAsia"/>
                      <w:szCs w:val="21"/>
                    </w:rPr>
                    <w:t>78 L</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9</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热媒体油</w:t>
                  </w:r>
                </w:p>
              </w:tc>
              <w:tc>
                <w:tcPr>
                  <w:tcW w:w="1917" w:type="dxa"/>
                  <w:tcBorders>
                    <w:top w:val="single" w:color="auto" w:sz="4" w:space="0"/>
                    <w:bottom w:val="single" w:color="auto" w:sz="4" w:space="0"/>
                  </w:tcBorders>
                  <w:vAlign w:val="center"/>
                </w:tcPr>
                <w:p>
                  <w:pPr>
                    <w:jc w:val="center"/>
                    <w:rPr>
                      <w:rFonts w:hAnsi="宋体"/>
                      <w:szCs w:val="21"/>
                    </w:rPr>
                  </w:pPr>
                  <w:r>
                    <w:rPr>
                      <w:rFonts w:hAnsi="宋体"/>
                      <w:szCs w:val="21"/>
                    </w:rPr>
                    <w:t>二烷基苯</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300 L</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107 L</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10</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真空泵油</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100%润滑油基油</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1200 L</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416 L</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11</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液态氩</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99.995%纯液氩</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1000 m</w:t>
                  </w:r>
                  <w:r>
                    <w:rPr>
                      <w:rFonts w:hint="eastAsia" w:hAnsi="宋体"/>
                      <w:szCs w:val="21"/>
                      <w:vertAlign w:val="superscript"/>
                    </w:rPr>
                    <w:t>3</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346.7 m</w:t>
                  </w:r>
                  <w:r>
                    <w:rPr>
                      <w:rFonts w:hint="eastAsia" w:hAnsi="宋体"/>
                      <w:szCs w:val="21"/>
                      <w:vertAlign w:val="superscript"/>
                    </w:rPr>
                    <w:t>3</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12</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氢气</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99.99%纯氢气</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1000 m</w:t>
                  </w:r>
                  <w:r>
                    <w:rPr>
                      <w:rFonts w:hint="eastAsia" w:hAnsi="宋体"/>
                      <w:szCs w:val="21"/>
                      <w:vertAlign w:val="superscript"/>
                    </w:rPr>
                    <w:t>3</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346.7 m</w:t>
                  </w:r>
                  <w:r>
                    <w:rPr>
                      <w:rFonts w:hint="eastAsia" w:hAnsi="宋体"/>
                      <w:szCs w:val="21"/>
                      <w:vertAlign w:val="superscript"/>
                    </w:rPr>
                    <w:t>3</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13</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防锈油</w:t>
                  </w:r>
                </w:p>
              </w:tc>
              <w:tc>
                <w:tcPr>
                  <w:tcW w:w="1917" w:type="dxa"/>
                  <w:tcBorders>
                    <w:top w:val="single" w:color="auto" w:sz="4" w:space="0"/>
                    <w:bottom w:val="single" w:color="auto" w:sz="4" w:space="0"/>
                  </w:tcBorders>
                  <w:vAlign w:val="center"/>
                </w:tcPr>
                <w:p>
                  <w:pPr>
                    <w:jc w:val="center"/>
                    <w:rPr>
                      <w:rFonts w:hAnsi="宋体"/>
                      <w:szCs w:val="21"/>
                    </w:rPr>
                  </w:pPr>
                  <w:r>
                    <w:rPr>
                      <w:rFonts w:hAnsi="宋体"/>
                      <w:szCs w:val="21"/>
                    </w:rPr>
                    <w:t>精致矿物油</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2400 L</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832 L</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14</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砂纸</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10 片</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4片</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4" w:space="0"/>
                  </w:tcBorders>
                  <w:vAlign w:val="center"/>
                </w:tcPr>
                <w:p>
                  <w:pPr>
                    <w:jc w:val="center"/>
                    <w:rPr>
                      <w:szCs w:val="21"/>
                    </w:rPr>
                  </w:pPr>
                  <w:r>
                    <w:rPr>
                      <w:rFonts w:hint="eastAsia"/>
                      <w:szCs w:val="21"/>
                    </w:rPr>
                    <w:t>15</w:t>
                  </w:r>
                </w:p>
              </w:tc>
              <w:tc>
                <w:tcPr>
                  <w:tcW w:w="1497" w:type="dxa"/>
                  <w:tcBorders>
                    <w:top w:val="single" w:color="auto" w:sz="4" w:space="0"/>
                    <w:bottom w:val="single" w:color="auto" w:sz="4" w:space="0"/>
                  </w:tcBorders>
                  <w:tcMar>
                    <w:top w:w="0" w:type="dxa"/>
                    <w:left w:w="0" w:type="dxa"/>
                    <w:right w:w="0" w:type="dxa"/>
                  </w:tcMar>
                  <w:vAlign w:val="center"/>
                </w:tcPr>
                <w:p>
                  <w:pPr>
                    <w:jc w:val="center"/>
                    <w:rPr>
                      <w:rFonts w:hAnsi="宋体"/>
                      <w:szCs w:val="21"/>
                    </w:rPr>
                  </w:pPr>
                  <w:r>
                    <w:rPr>
                      <w:rFonts w:hAnsi="宋体"/>
                      <w:szCs w:val="21"/>
                    </w:rPr>
                    <w:t>颗粒状树脂</w:t>
                  </w:r>
                </w:p>
              </w:tc>
              <w:tc>
                <w:tcPr>
                  <w:tcW w:w="1917" w:type="dxa"/>
                  <w:tcBorders>
                    <w:top w:val="single" w:color="auto" w:sz="4" w:space="0"/>
                    <w:bottom w:val="single" w:color="auto" w:sz="4" w:space="0"/>
                  </w:tcBorders>
                  <w:vAlign w:val="center"/>
                </w:tcPr>
                <w:p>
                  <w:pPr>
                    <w:jc w:val="center"/>
                    <w:rPr>
                      <w:rFonts w:hAnsi="宋体"/>
                      <w:szCs w:val="21"/>
                    </w:rPr>
                  </w:pPr>
                  <w:r>
                    <w:rPr>
                      <w:rFonts w:hAnsi="宋体"/>
                      <w:szCs w:val="21"/>
                    </w:rPr>
                    <w:t>树脂</w:t>
                  </w:r>
                </w:p>
              </w:tc>
              <w:tc>
                <w:tcPr>
                  <w:tcW w:w="1181" w:type="dxa"/>
                  <w:tcBorders>
                    <w:top w:val="single" w:color="auto" w:sz="4" w:space="0"/>
                    <w:bottom w:val="single" w:color="auto" w:sz="4" w:space="0"/>
                  </w:tcBorders>
                  <w:vAlign w:val="center"/>
                </w:tcPr>
                <w:p>
                  <w:pPr>
                    <w:jc w:val="center"/>
                    <w:rPr>
                      <w:rFonts w:hAnsi="宋体"/>
                      <w:szCs w:val="21"/>
                    </w:rPr>
                  </w:pPr>
                  <w:r>
                    <w:rPr>
                      <w:rFonts w:hint="eastAsia" w:hAnsi="宋体"/>
                      <w:szCs w:val="21"/>
                    </w:rPr>
                    <w:t>0.1 t</w:t>
                  </w:r>
                  <w:r>
                    <w:rPr>
                      <w:rFonts w:hint="eastAsia"/>
                      <w:szCs w:val="21"/>
                    </w:rPr>
                    <w:t>/a</w:t>
                  </w:r>
                </w:p>
              </w:tc>
              <w:tc>
                <w:tcPr>
                  <w:tcW w:w="1917" w:type="dxa"/>
                  <w:tcBorders>
                    <w:top w:val="single" w:color="auto" w:sz="4" w:space="0"/>
                    <w:bottom w:val="single" w:color="auto" w:sz="4" w:space="0"/>
                  </w:tcBorders>
                  <w:vAlign w:val="center"/>
                </w:tcPr>
                <w:p>
                  <w:pPr>
                    <w:jc w:val="center"/>
                    <w:rPr>
                      <w:rFonts w:hAnsi="宋体"/>
                      <w:szCs w:val="21"/>
                    </w:rPr>
                  </w:pPr>
                  <w:r>
                    <w:rPr>
                      <w:rFonts w:hint="eastAsia" w:hAnsi="宋体"/>
                      <w:szCs w:val="21"/>
                    </w:rPr>
                    <w:t>0.03 t</w:t>
                  </w:r>
                </w:p>
              </w:tc>
              <w:tc>
                <w:tcPr>
                  <w:tcW w:w="1674" w:type="dxa"/>
                  <w:tcBorders>
                    <w:top w:val="single" w:color="auto" w:sz="4" w:space="0"/>
                    <w:bottom w:val="single" w:color="auto" w:sz="4" w:space="0"/>
                  </w:tcBorders>
                  <w:vAlign w:val="center"/>
                </w:tcPr>
                <w:p>
                  <w:pPr>
                    <w:jc w:val="center"/>
                    <w:rPr>
                      <w:szCs w:val="21"/>
                    </w:rPr>
                  </w:pPr>
                  <w:r>
                    <w:rPr>
                      <w:rFonts w:hAnsi="宋体"/>
                      <w:szCs w:val="21"/>
                    </w:rPr>
                    <w:t>符合环评要求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0" w:type="dxa"/>
                  <w:tcBorders>
                    <w:top w:val="single" w:color="auto" w:sz="4" w:space="0"/>
                    <w:bottom w:val="single" w:color="auto" w:sz="12" w:space="0"/>
                  </w:tcBorders>
                  <w:vAlign w:val="center"/>
                </w:tcPr>
                <w:p>
                  <w:pPr>
                    <w:jc w:val="center"/>
                    <w:rPr>
                      <w:szCs w:val="21"/>
                    </w:rPr>
                  </w:pPr>
                  <w:r>
                    <w:rPr>
                      <w:rFonts w:hint="eastAsia"/>
                      <w:szCs w:val="21"/>
                    </w:rPr>
                    <w:t>16</w:t>
                  </w:r>
                </w:p>
              </w:tc>
              <w:tc>
                <w:tcPr>
                  <w:tcW w:w="1497" w:type="dxa"/>
                  <w:tcBorders>
                    <w:top w:val="single" w:color="auto" w:sz="4" w:space="0"/>
                    <w:bottom w:val="single" w:color="auto" w:sz="12" w:space="0"/>
                  </w:tcBorders>
                  <w:tcMar>
                    <w:top w:w="0" w:type="dxa"/>
                    <w:left w:w="0" w:type="dxa"/>
                    <w:right w:w="0" w:type="dxa"/>
                  </w:tcMar>
                  <w:vAlign w:val="center"/>
                </w:tcPr>
                <w:p>
                  <w:pPr>
                    <w:jc w:val="center"/>
                    <w:rPr>
                      <w:rFonts w:hAnsi="宋体"/>
                      <w:szCs w:val="21"/>
                    </w:rPr>
                  </w:pPr>
                  <w:r>
                    <w:rPr>
                      <w:rFonts w:hAnsi="宋体"/>
                      <w:szCs w:val="21"/>
                    </w:rPr>
                    <w:t>包装材料</w:t>
                  </w:r>
                </w:p>
              </w:tc>
              <w:tc>
                <w:tcPr>
                  <w:tcW w:w="1917" w:type="dxa"/>
                  <w:tcBorders>
                    <w:top w:val="single" w:color="auto" w:sz="4" w:space="0"/>
                    <w:bottom w:val="single" w:color="auto" w:sz="12" w:space="0"/>
                  </w:tcBorders>
                  <w:vAlign w:val="center"/>
                </w:tcPr>
                <w:p>
                  <w:pPr>
                    <w:jc w:val="center"/>
                    <w:rPr>
                      <w:rFonts w:hAnsi="宋体"/>
                      <w:szCs w:val="21"/>
                    </w:rPr>
                  </w:pPr>
                  <w:r>
                    <w:rPr>
                      <w:rFonts w:hint="eastAsia" w:hAnsi="宋体"/>
                      <w:szCs w:val="21"/>
                    </w:rPr>
                    <w:t>/</w:t>
                  </w:r>
                </w:p>
              </w:tc>
              <w:tc>
                <w:tcPr>
                  <w:tcW w:w="1181" w:type="dxa"/>
                  <w:tcBorders>
                    <w:top w:val="single" w:color="auto" w:sz="4" w:space="0"/>
                    <w:bottom w:val="single" w:color="auto" w:sz="12" w:space="0"/>
                  </w:tcBorders>
                  <w:vAlign w:val="center"/>
                </w:tcPr>
                <w:p>
                  <w:pPr>
                    <w:jc w:val="center"/>
                    <w:rPr>
                      <w:rFonts w:hAnsi="宋体"/>
                      <w:szCs w:val="21"/>
                    </w:rPr>
                  </w:pPr>
                  <w:r>
                    <w:rPr>
                      <w:rFonts w:hint="eastAsia" w:hAnsi="宋体"/>
                      <w:szCs w:val="21"/>
                    </w:rPr>
                    <w:t>5 t</w:t>
                  </w:r>
                  <w:r>
                    <w:rPr>
                      <w:rFonts w:hint="eastAsia"/>
                      <w:szCs w:val="21"/>
                    </w:rPr>
                    <w:t>/a</w:t>
                  </w:r>
                </w:p>
              </w:tc>
              <w:tc>
                <w:tcPr>
                  <w:tcW w:w="1917" w:type="dxa"/>
                  <w:tcBorders>
                    <w:top w:val="single" w:color="auto" w:sz="4" w:space="0"/>
                    <w:bottom w:val="single" w:color="auto" w:sz="12" w:space="0"/>
                  </w:tcBorders>
                  <w:vAlign w:val="center"/>
                </w:tcPr>
                <w:p>
                  <w:pPr>
                    <w:jc w:val="center"/>
                    <w:rPr>
                      <w:rFonts w:hAnsi="宋体"/>
                      <w:szCs w:val="21"/>
                    </w:rPr>
                  </w:pPr>
                  <w:r>
                    <w:rPr>
                      <w:rFonts w:hint="eastAsia" w:hAnsi="宋体"/>
                      <w:szCs w:val="21"/>
                    </w:rPr>
                    <w:t>1.73 t</w:t>
                  </w:r>
                </w:p>
              </w:tc>
              <w:tc>
                <w:tcPr>
                  <w:tcW w:w="1674" w:type="dxa"/>
                  <w:tcBorders>
                    <w:top w:val="single" w:color="auto" w:sz="4" w:space="0"/>
                    <w:bottom w:val="single" w:color="auto" w:sz="12" w:space="0"/>
                  </w:tcBorders>
                  <w:vAlign w:val="center"/>
                </w:tcPr>
                <w:p>
                  <w:pPr>
                    <w:jc w:val="center"/>
                    <w:rPr>
                      <w:szCs w:val="21"/>
                    </w:rPr>
                  </w:pPr>
                  <w:r>
                    <w:rPr>
                      <w:rFonts w:hAnsi="宋体"/>
                      <w:szCs w:val="21"/>
                    </w:rPr>
                    <w:t>符合环评要求</w:t>
                  </w:r>
                </w:p>
              </w:tc>
            </w:tr>
          </w:tbl>
          <w:p>
            <w:pPr>
              <w:wordWrap w:val="0"/>
              <w:spacing w:beforeLines="50" w:line="360" w:lineRule="auto"/>
              <w:ind w:firstLine="480" w:firstLineChars="200"/>
              <w:rPr>
                <w:rFonts w:hAnsi="宋体"/>
                <w:sz w:val="24"/>
              </w:rPr>
            </w:pPr>
            <w:bookmarkStart w:id="2" w:name="OLE_LINK2"/>
            <w:bookmarkStart w:id="3" w:name="OLE_LINK3"/>
            <w:r>
              <w:rPr>
                <w:rFonts w:hAnsi="宋体"/>
                <w:sz w:val="24"/>
              </w:rPr>
              <w:t>本项目用水来源于当地自来水厂，用水点主要为</w:t>
            </w:r>
            <w:r>
              <w:rPr>
                <w:rFonts w:hint="eastAsia" w:hAnsi="宋体"/>
                <w:sz w:val="24"/>
              </w:rPr>
              <w:t>生活</w:t>
            </w:r>
            <w:r>
              <w:rPr>
                <w:rFonts w:hAnsi="宋体"/>
                <w:sz w:val="24"/>
              </w:rPr>
              <w:t>用水</w:t>
            </w:r>
            <w:r>
              <w:rPr>
                <w:rFonts w:hint="eastAsia" w:hAnsi="宋体"/>
                <w:sz w:val="24"/>
              </w:rPr>
              <w:t>、</w:t>
            </w:r>
            <w:r>
              <w:rPr>
                <w:rFonts w:hAnsi="宋体"/>
                <w:sz w:val="24"/>
              </w:rPr>
              <w:t>研磨</w:t>
            </w:r>
            <w:r>
              <w:rPr>
                <w:rFonts w:hint="eastAsia" w:hAnsi="宋体"/>
                <w:sz w:val="24"/>
              </w:rPr>
              <w:t>、</w:t>
            </w:r>
            <w:r>
              <w:rPr>
                <w:rFonts w:hAnsi="宋体"/>
                <w:sz w:val="24"/>
              </w:rPr>
              <w:t>切割用水</w:t>
            </w:r>
            <w:r>
              <w:rPr>
                <w:rFonts w:hint="eastAsia" w:hAnsi="宋体"/>
                <w:sz w:val="24"/>
              </w:rPr>
              <w:t>、</w:t>
            </w:r>
            <w:r>
              <w:rPr>
                <w:rFonts w:hAnsi="宋体"/>
                <w:sz w:val="24"/>
              </w:rPr>
              <w:t>冷却塔用水。</w:t>
            </w:r>
            <w:r>
              <w:rPr>
                <w:rFonts w:hint="eastAsia" w:hAnsi="宋体"/>
                <w:sz w:val="24"/>
              </w:rPr>
              <w:t>根据企业提供2019年2~3月水费发票，企业实际用水量为841.8t/a。全厂水平衡图如图2-1。</w:t>
            </w:r>
          </w:p>
          <w:p>
            <w:pPr>
              <w:wordWrap w:val="0"/>
              <w:spacing w:beforeLines="50" w:line="360" w:lineRule="auto"/>
              <w:ind w:firstLine="420" w:firstLineChars="200"/>
            </w:pPr>
            <w:r>
              <w:object>
                <v:shape id="_x0000_i1025" o:spt="75" type="#_x0000_t75" style="height:256.9pt;width:415.3pt;" o:ole="t" filled="f" o:preferrelative="t" stroked="f" coordsize="21600,21600">
                  <v:path/>
                  <v:fill on="f" focussize="0,0"/>
                  <v:stroke on="f" joinstyle="miter"/>
                  <v:imagedata r:id="rId10" o:title=""/>
                  <o:lock v:ext="edit" aspectratio="t"/>
                  <w10:wrap type="none"/>
                  <w10:anchorlock/>
                </v:shape>
                <o:OLEObject Type="Embed" ProgID="Visio.Drawing.11" ShapeID="_x0000_i1025" DrawAspect="Content" ObjectID="_1468075725" r:id="rId9">
                  <o:LockedField>false</o:LockedField>
                </o:OLEObject>
              </w:object>
            </w:r>
          </w:p>
          <w:p>
            <w:pPr>
              <w:spacing w:beforeLines="50" w:line="360" w:lineRule="auto"/>
              <w:ind w:firstLine="482" w:firstLineChars="200"/>
              <w:jc w:val="center"/>
              <w:rPr>
                <w:rFonts w:hAnsi="宋体"/>
                <w:b/>
                <w:bCs/>
                <w:sz w:val="32"/>
              </w:rPr>
            </w:pPr>
            <w:r>
              <w:rPr>
                <w:rFonts w:hint="eastAsia"/>
                <w:b/>
                <w:sz w:val="24"/>
              </w:rPr>
              <w:t>图2-1  全厂实际水平衡图</w:t>
            </w:r>
          </w:p>
          <w:bookmarkEnd w:id="2"/>
          <w:bookmarkEnd w:id="3"/>
          <w:p>
            <w:pPr>
              <w:spacing w:line="360" w:lineRule="auto"/>
              <w:ind w:firstLine="480" w:firstLineChars="200"/>
              <w:rPr>
                <w:sz w:val="24"/>
              </w:rPr>
            </w:pPr>
          </w:p>
        </w:tc>
      </w:tr>
    </w:tbl>
    <w:p>
      <w:pPr>
        <w:widowControl/>
        <w:jc w:val="left"/>
        <w:rPr>
          <w:sz w:val="24"/>
        </w:rPr>
      </w:pPr>
      <w:r>
        <w:rPr>
          <w:sz w:val="24"/>
        </w:rPr>
        <w:br w:type="page"/>
      </w:r>
      <w:r>
        <w:rPr>
          <w:sz w:val="24"/>
        </w:rPr>
        <w:t>续表二</w:t>
      </w:r>
    </w:p>
    <w:tbl>
      <w:tblPr>
        <w:tblStyle w:val="18"/>
        <w:tblW w:w="91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56" w:hRule="atLeast"/>
          <w:jc w:val="center"/>
        </w:trPr>
        <w:tc>
          <w:tcPr>
            <w:tcW w:w="9105" w:type="dxa"/>
            <w:vAlign w:val="bottom"/>
          </w:tcPr>
          <w:p>
            <w:pPr>
              <w:tabs>
                <w:tab w:val="left" w:pos="3150"/>
              </w:tabs>
              <w:adjustRightInd w:val="0"/>
              <w:snapToGrid w:val="0"/>
              <w:spacing w:line="360" w:lineRule="auto"/>
              <w:jc w:val="left"/>
              <w:rPr>
                <w:b/>
                <w:sz w:val="24"/>
              </w:rPr>
            </w:pPr>
            <w:r>
              <w:rPr>
                <w:b/>
                <w:sz w:val="24"/>
              </w:rPr>
              <w:pict>
                <v:shape id="_x0000_s1037" o:spid="_x0000_s1037" o:spt="75" type="#_x0000_t75" style="position:absolute;left:0pt;margin-left:18.55pt;margin-top:202pt;height:129.6pt;width:414.7pt;z-index:-251651072;mso-width-relative:page;mso-height-relative:page;" o:ole="t" filled="f" o:preferrelative="t" stroked="f" coordsize="21600,21600">
                  <v:path/>
                  <v:fill on="f" focussize="0,0"/>
                  <v:stroke on="f" joinstyle="miter"/>
                  <v:imagedata r:id="rId12" o:title=""/>
                  <o:lock v:ext="edit" aspectratio="t"/>
                </v:shape>
                <o:OLEObject Type="Embed" ProgID="Visio.Drawing.11" ShapeID="_x0000_s1037" DrawAspect="Content" ObjectID="_1468075726" r:id="rId11">
                  <o:LockedField>false</o:LockedField>
                </o:OLEObject>
              </w:pict>
            </w:r>
            <w:r>
              <w:rPr>
                <w:b/>
                <w:sz w:val="24"/>
              </w:rPr>
              <w:t>主要工艺流程及产污环节（附处理工艺流程图，标出产污节点）</w:t>
            </w:r>
          </w:p>
          <w:p>
            <w:pPr>
              <w:spacing w:line="480" w:lineRule="exact"/>
              <w:rPr>
                <w:b/>
                <w:sz w:val="24"/>
              </w:rPr>
            </w:pPr>
            <w:r>
              <w:rPr>
                <w:rFonts w:hint="eastAsia"/>
                <w:b/>
                <w:sz w:val="24"/>
              </w:rPr>
              <w:t>（1）深冷热处理工艺流程图</w:t>
            </w:r>
            <w:r>
              <w:rPr>
                <w:b/>
                <w:sz w:val="24"/>
              </w:rPr>
              <w:pict>
                <v:shape id="_x0000_s1036" o:spid="_x0000_s1036" o:spt="75" type="#_x0000_t75" style="position:absolute;left:0pt;margin-left:5.1pt;margin-top:30.1pt;height:120.85pt;width:435.75pt;z-index:-251652096;mso-width-relative:page;mso-height-relative:page;" o:ole="t" filled="f" o:preferrelative="t" stroked="f" coordsize="21600,21600">
                  <v:path/>
                  <v:fill on="f" focussize="0,0"/>
                  <v:stroke on="f" joinstyle="miter"/>
                  <v:imagedata r:id="rId14" o:title=""/>
                  <o:lock v:ext="edit" aspectratio="t"/>
                </v:shape>
                <o:OLEObject Type="Embed" ProgID="Visio.Drawing.11" ShapeID="_x0000_s1036" DrawAspect="Content" ObjectID="_1468075727" r:id="rId13">
                  <o:LockedField>false</o:LockedField>
                </o:OLEObject>
              </w:pict>
            </w:r>
          </w:p>
          <w:p>
            <w:pPr>
              <w:spacing w:line="480" w:lineRule="exact"/>
              <w:ind w:firstLine="480"/>
              <w:jc w:val="left"/>
              <w:rPr>
                <w:b/>
                <w:sz w:val="24"/>
              </w:rPr>
            </w:pPr>
          </w:p>
          <w:p>
            <w:pPr>
              <w:spacing w:line="480" w:lineRule="exact"/>
              <w:ind w:firstLine="480"/>
              <w:jc w:val="left"/>
              <w:rPr>
                <w:b/>
                <w:sz w:val="24"/>
              </w:rPr>
            </w:pPr>
          </w:p>
          <w:p>
            <w:pPr>
              <w:spacing w:line="480" w:lineRule="exact"/>
              <w:ind w:firstLine="480"/>
              <w:jc w:val="left"/>
              <w:rPr>
                <w:b/>
                <w:sz w:val="24"/>
              </w:rPr>
            </w:pPr>
          </w:p>
          <w:p>
            <w:pPr>
              <w:spacing w:line="480" w:lineRule="exact"/>
              <w:ind w:firstLine="480"/>
              <w:jc w:val="left"/>
              <w:rPr>
                <w:b/>
                <w:sz w:val="24"/>
              </w:rPr>
            </w:pPr>
          </w:p>
          <w:p>
            <w:pPr>
              <w:spacing w:line="480" w:lineRule="exact"/>
              <w:ind w:firstLine="480"/>
              <w:jc w:val="center"/>
              <w:rPr>
                <w:b/>
                <w:sz w:val="24"/>
              </w:rPr>
            </w:pPr>
          </w:p>
          <w:p>
            <w:pPr>
              <w:spacing w:line="480" w:lineRule="exact"/>
              <w:ind w:firstLine="480"/>
              <w:jc w:val="center"/>
              <w:rPr>
                <w:b/>
                <w:sz w:val="24"/>
              </w:rPr>
            </w:pPr>
          </w:p>
          <w:p>
            <w:pPr>
              <w:spacing w:line="480" w:lineRule="exact"/>
              <w:ind w:firstLine="480"/>
              <w:jc w:val="center"/>
              <w:rPr>
                <w:b/>
                <w:sz w:val="24"/>
              </w:rPr>
            </w:pPr>
          </w:p>
          <w:p>
            <w:pPr>
              <w:spacing w:line="480" w:lineRule="exact"/>
              <w:ind w:firstLine="480"/>
              <w:jc w:val="center"/>
              <w:rPr>
                <w:b/>
                <w:sz w:val="24"/>
              </w:rPr>
            </w:pPr>
          </w:p>
          <w:p>
            <w:pPr>
              <w:spacing w:line="480" w:lineRule="exact"/>
              <w:ind w:firstLine="480"/>
              <w:jc w:val="center"/>
              <w:rPr>
                <w:b/>
                <w:sz w:val="24"/>
              </w:rPr>
            </w:pPr>
          </w:p>
          <w:p>
            <w:pPr>
              <w:spacing w:line="480" w:lineRule="exact"/>
              <w:ind w:firstLine="480"/>
              <w:jc w:val="center"/>
              <w:rPr>
                <w:b/>
                <w:sz w:val="24"/>
              </w:rPr>
            </w:pPr>
          </w:p>
          <w:p>
            <w:pPr>
              <w:spacing w:line="480" w:lineRule="exact"/>
              <w:rPr>
                <w:b/>
                <w:sz w:val="24"/>
              </w:rPr>
            </w:pPr>
          </w:p>
          <w:p>
            <w:pPr>
              <w:spacing w:line="480" w:lineRule="exact"/>
              <w:ind w:firstLine="480"/>
              <w:jc w:val="center"/>
              <w:rPr>
                <w:b/>
                <w:sz w:val="24"/>
              </w:rPr>
            </w:pPr>
            <w:r>
              <w:rPr>
                <w:rFonts w:hint="eastAsia"/>
                <w:b/>
                <w:sz w:val="24"/>
              </w:rPr>
              <w:t>图2-1  深冷热处理工艺流程图及产污环节</w:t>
            </w:r>
          </w:p>
          <w:p>
            <w:pPr>
              <w:spacing w:line="480" w:lineRule="exact"/>
              <w:ind w:firstLine="480"/>
              <w:rPr>
                <w:b/>
                <w:sz w:val="24"/>
              </w:rPr>
            </w:pPr>
            <w:r>
              <w:rPr>
                <w:b/>
                <w:sz w:val="24"/>
              </w:rPr>
              <w:t>工艺流程简述</w:t>
            </w:r>
            <w:r>
              <w:rPr>
                <w:rFonts w:hint="eastAsia"/>
                <w:b/>
                <w:sz w:val="24"/>
              </w:rPr>
              <w:t>：</w:t>
            </w:r>
          </w:p>
          <w:p>
            <w:pPr>
              <w:spacing w:line="360" w:lineRule="auto"/>
              <w:ind w:firstLine="480" w:firstLineChars="200"/>
              <w:rPr>
                <w:rFonts w:eastAsiaTheme="minorEastAsia"/>
                <w:sz w:val="24"/>
              </w:rPr>
            </w:pPr>
            <w:r>
              <w:rPr>
                <w:rFonts w:hAnsiTheme="minorEastAsia" w:eastAsiaTheme="minorEastAsia"/>
                <w:sz w:val="24"/>
              </w:rPr>
              <w:t>脱脂清洗：将功能部件用行车放入真空</w:t>
            </w:r>
            <w:r>
              <w:rPr>
                <w:rFonts w:hint="eastAsia" w:hAnsiTheme="minorEastAsia" w:eastAsiaTheme="minorEastAsia"/>
                <w:sz w:val="24"/>
              </w:rPr>
              <w:t>清洗机</w:t>
            </w:r>
            <w:r>
              <w:rPr>
                <w:rFonts w:hAnsiTheme="minorEastAsia" w:eastAsiaTheme="minorEastAsia"/>
                <w:sz w:val="24"/>
              </w:rPr>
              <w:t>内在</w:t>
            </w:r>
            <w:r>
              <w:rPr>
                <w:rFonts w:eastAsiaTheme="minorEastAsia"/>
                <w:sz w:val="24"/>
              </w:rPr>
              <w:t>60-80℃</w:t>
            </w:r>
            <w:r>
              <w:rPr>
                <w:rFonts w:hAnsiTheme="minorEastAsia" w:eastAsiaTheme="minorEastAsia"/>
                <w:sz w:val="24"/>
              </w:rPr>
              <w:t>条件下使用清洗液对工件清洗</w:t>
            </w:r>
            <w:r>
              <w:rPr>
                <w:rFonts w:eastAsiaTheme="minorEastAsia"/>
                <w:sz w:val="24"/>
              </w:rPr>
              <w:t>30-40min</w:t>
            </w:r>
            <w:r>
              <w:rPr>
                <w:rFonts w:hAnsiTheme="minorEastAsia" w:eastAsiaTheme="minorEastAsia"/>
                <w:sz w:val="24"/>
              </w:rPr>
              <w:t>，洗去工件表面的油污及灰尘，清洗液经过滤槽过滤，产生过滤废渣</w:t>
            </w:r>
            <w:r>
              <w:rPr>
                <w:rFonts w:eastAsiaTheme="minorEastAsia"/>
                <w:sz w:val="24"/>
              </w:rPr>
              <w:t>S</w:t>
            </w:r>
            <w:r>
              <w:rPr>
                <w:rFonts w:eastAsiaTheme="minorEastAsia"/>
                <w:sz w:val="24"/>
                <w:vertAlign w:val="subscript"/>
              </w:rPr>
              <w:t>1</w:t>
            </w:r>
            <w:r>
              <w:rPr>
                <w:rFonts w:hAnsiTheme="minorEastAsia" w:eastAsiaTheme="minorEastAsia"/>
                <w:sz w:val="24"/>
              </w:rPr>
              <w:t>，加热过程中需要用热媒体油进行导热，待清洗效果不佳时，需要重新更换新的热媒体油，产生废热煤体油</w:t>
            </w:r>
            <w:r>
              <w:rPr>
                <w:rFonts w:eastAsiaTheme="minorEastAsia"/>
                <w:sz w:val="24"/>
              </w:rPr>
              <w:t>S</w:t>
            </w:r>
            <w:r>
              <w:rPr>
                <w:rFonts w:eastAsiaTheme="minorEastAsia"/>
                <w:sz w:val="24"/>
                <w:vertAlign w:val="subscript"/>
              </w:rPr>
              <w:t>2</w:t>
            </w:r>
            <w:r>
              <w:rPr>
                <w:rFonts w:hAnsiTheme="minorEastAsia" w:eastAsiaTheme="minorEastAsia"/>
                <w:sz w:val="24"/>
              </w:rPr>
              <w:t>，之后利用清洗机内置的干燥系统真空干燥，真空清洗、真空干燥收集气相经冷凝后产生不凝废气</w:t>
            </w:r>
            <w:r>
              <w:rPr>
                <w:rFonts w:eastAsiaTheme="minorEastAsia"/>
                <w:sz w:val="24"/>
              </w:rPr>
              <w:t>G</w:t>
            </w:r>
            <w:r>
              <w:rPr>
                <w:rFonts w:eastAsiaTheme="minorEastAsia"/>
                <w:sz w:val="24"/>
                <w:vertAlign w:val="subscript"/>
              </w:rPr>
              <w:t>1</w:t>
            </w:r>
            <w:r>
              <w:rPr>
                <w:rFonts w:eastAsiaTheme="minorEastAsia"/>
                <w:sz w:val="24"/>
              </w:rPr>
              <w:t>，</w:t>
            </w:r>
            <w:r>
              <w:rPr>
                <w:rFonts w:hAnsiTheme="minorEastAsia" w:eastAsiaTheme="minorEastAsia"/>
                <w:sz w:val="24"/>
              </w:rPr>
              <w:t>冷凝液相由蒸馏装置回收</w:t>
            </w:r>
            <w:r>
              <w:rPr>
                <w:rFonts w:eastAsiaTheme="minorEastAsia"/>
                <w:sz w:val="24"/>
              </w:rPr>
              <w:t>，</w:t>
            </w:r>
            <w:r>
              <w:rPr>
                <w:rFonts w:hAnsiTheme="minorEastAsia" w:eastAsiaTheme="minorEastAsia"/>
                <w:sz w:val="24"/>
              </w:rPr>
              <w:t>此外，工件放入和取出时产生开关仓废气</w:t>
            </w:r>
            <w:r>
              <w:rPr>
                <w:rFonts w:eastAsiaTheme="minorEastAsia"/>
                <w:sz w:val="24"/>
              </w:rPr>
              <w:t>G</w:t>
            </w:r>
            <w:r>
              <w:rPr>
                <w:rFonts w:eastAsiaTheme="minorEastAsia"/>
                <w:sz w:val="24"/>
                <w:vertAlign w:val="subscript"/>
              </w:rPr>
              <w:t>2</w:t>
            </w:r>
            <w:r>
              <w:rPr>
                <w:rFonts w:eastAsiaTheme="minorEastAsia"/>
                <w:sz w:val="24"/>
              </w:rPr>
              <w:t>，</w:t>
            </w:r>
            <w:r>
              <w:rPr>
                <w:rFonts w:hAnsiTheme="minorEastAsia" w:eastAsiaTheme="minorEastAsia"/>
                <w:sz w:val="24"/>
              </w:rPr>
              <w:t>两股废气经收集后由活性炭吸附后排出，产生废活性炭</w:t>
            </w:r>
            <w:r>
              <w:rPr>
                <w:rFonts w:eastAsiaTheme="minorEastAsia"/>
                <w:sz w:val="24"/>
              </w:rPr>
              <w:t>S</w:t>
            </w:r>
            <w:r>
              <w:rPr>
                <w:rFonts w:eastAsiaTheme="minorEastAsia"/>
                <w:sz w:val="24"/>
                <w:vertAlign w:val="subscript"/>
              </w:rPr>
              <w:t>3</w:t>
            </w:r>
            <w:r>
              <w:rPr>
                <w:rFonts w:hAnsiTheme="minorEastAsia" w:eastAsiaTheme="minorEastAsia"/>
                <w:sz w:val="24"/>
              </w:rPr>
              <w:t>，清洗液经机体</w:t>
            </w:r>
            <w:r>
              <w:rPr>
                <w:rFonts w:hint="eastAsia" w:eastAsiaTheme="minorEastAsia"/>
                <w:sz w:val="24"/>
              </w:rPr>
              <w:t>一</w:t>
            </w:r>
            <w:r>
              <w:rPr>
                <w:rFonts w:hAnsiTheme="minorEastAsia" w:eastAsiaTheme="minorEastAsia"/>
                <w:sz w:val="24"/>
              </w:rPr>
              <w:t>体蒸馏设备蒸馏后的蒸馏残渣</w:t>
            </w:r>
            <w:r>
              <w:rPr>
                <w:rFonts w:eastAsiaTheme="minorEastAsia"/>
                <w:sz w:val="24"/>
              </w:rPr>
              <w:t>S</w:t>
            </w:r>
            <w:r>
              <w:rPr>
                <w:rFonts w:eastAsiaTheme="minorEastAsia"/>
                <w:sz w:val="24"/>
                <w:vertAlign w:val="subscript"/>
              </w:rPr>
              <w:t>4</w:t>
            </w:r>
            <w:r>
              <w:rPr>
                <w:rFonts w:hAnsiTheme="minorEastAsia" w:eastAsiaTheme="minorEastAsia"/>
                <w:sz w:val="24"/>
              </w:rPr>
              <w:t>用铁桶收集，作为危废。</w:t>
            </w:r>
          </w:p>
          <w:p>
            <w:pPr>
              <w:spacing w:line="360" w:lineRule="auto"/>
              <w:ind w:firstLine="480" w:firstLineChars="200"/>
              <w:rPr>
                <w:rFonts w:eastAsiaTheme="minorEastAsia"/>
                <w:sz w:val="24"/>
              </w:rPr>
            </w:pPr>
            <w:r>
              <w:rPr>
                <w:rFonts w:hAnsiTheme="minorEastAsia" w:eastAsiaTheme="minorEastAsia"/>
                <w:sz w:val="24"/>
              </w:rPr>
              <w:t>淬火</w:t>
            </w:r>
            <w:r>
              <w:rPr>
                <w:rFonts w:eastAsiaTheme="minorEastAsia"/>
                <w:sz w:val="24"/>
              </w:rPr>
              <w:t>：</w:t>
            </w:r>
            <w:r>
              <w:rPr>
                <w:rFonts w:hAnsiTheme="minorEastAsia" w:eastAsiaTheme="minorEastAsia"/>
                <w:sz w:val="24"/>
              </w:rPr>
              <w:t>淬火设备采用一室真空炉，抽真空过程中真空泵油挥发，产生有机废气</w:t>
            </w:r>
            <w:r>
              <w:rPr>
                <w:rFonts w:eastAsiaTheme="minorEastAsia"/>
                <w:sz w:val="24"/>
              </w:rPr>
              <w:t>G</w:t>
            </w:r>
            <w:r>
              <w:rPr>
                <w:rFonts w:eastAsiaTheme="minorEastAsia"/>
                <w:sz w:val="24"/>
                <w:vertAlign w:val="subscript"/>
              </w:rPr>
              <w:t>5</w:t>
            </w:r>
            <w:r>
              <w:rPr>
                <w:rFonts w:eastAsiaTheme="minorEastAsia"/>
                <w:sz w:val="24"/>
              </w:rPr>
              <w:t>，</w:t>
            </w:r>
            <w:r>
              <w:rPr>
                <w:rFonts w:hAnsiTheme="minorEastAsia" w:eastAsiaTheme="minorEastAsia"/>
                <w:sz w:val="24"/>
              </w:rPr>
              <w:t>以非甲烷总烃计。</w:t>
            </w:r>
          </w:p>
          <w:p>
            <w:pPr>
              <w:spacing w:line="360" w:lineRule="auto"/>
              <w:ind w:firstLine="480" w:firstLineChars="200"/>
              <w:rPr>
                <w:rFonts w:eastAsiaTheme="minorEastAsia"/>
                <w:sz w:val="24"/>
              </w:rPr>
            </w:pPr>
            <w:r>
              <w:rPr>
                <w:rFonts w:hAnsiTheme="minorEastAsia" w:eastAsiaTheme="minorEastAsia"/>
                <w:sz w:val="24"/>
              </w:rPr>
              <w:t>深冷处理</w:t>
            </w:r>
            <w:r>
              <w:rPr>
                <w:rFonts w:eastAsiaTheme="minorEastAsia"/>
                <w:sz w:val="24"/>
              </w:rPr>
              <w:t>：</w:t>
            </w:r>
            <w:r>
              <w:rPr>
                <w:rFonts w:hAnsiTheme="minorEastAsia" w:eastAsiaTheme="minorEastAsia"/>
                <w:sz w:val="24"/>
              </w:rPr>
              <w:t>将淬火后的工件放入深冷处理机内，向其通入液氮使工件冷却至</w:t>
            </w:r>
            <w:r>
              <w:rPr>
                <w:rFonts w:eastAsiaTheme="minorEastAsia"/>
                <w:sz w:val="24"/>
              </w:rPr>
              <w:t>-80</w:t>
            </w:r>
            <w:r>
              <w:rPr>
                <w:rFonts w:hint="eastAsia" w:eastAsiaTheme="minorEastAsia"/>
                <w:sz w:val="24"/>
              </w:rPr>
              <w:t>~</w:t>
            </w:r>
            <w:r>
              <w:rPr>
                <w:rFonts w:eastAsiaTheme="minorEastAsia"/>
                <w:sz w:val="24"/>
              </w:rPr>
              <w:t>40℃</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回火</w:t>
            </w:r>
            <w:r>
              <w:rPr>
                <w:rFonts w:eastAsiaTheme="minorEastAsia"/>
                <w:sz w:val="24"/>
              </w:rPr>
              <w:t>：</w:t>
            </w:r>
            <w:r>
              <w:rPr>
                <w:rFonts w:hAnsiTheme="minorEastAsia" w:eastAsiaTheme="minorEastAsia"/>
                <w:sz w:val="24"/>
              </w:rPr>
              <w:t>回火采用回火炉，回火加热过程中残留的清洗剂和油垢受热挥发，产生有机废气</w:t>
            </w:r>
            <w:r>
              <w:rPr>
                <w:rFonts w:eastAsiaTheme="minorEastAsia"/>
                <w:sz w:val="24"/>
              </w:rPr>
              <w:t>G</w:t>
            </w:r>
            <w:r>
              <w:rPr>
                <w:rFonts w:eastAsiaTheme="minorEastAsia"/>
                <w:sz w:val="24"/>
                <w:vertAlign w:val="subscript"/>
              </w:rPr>
              <w:t>6</w:t>
            </w:r>
            <w:r>
              <w:rPr>
                <w:rFonts w:hAnsiTheme="minorEastAsia" w:eastAsiaTheme="minorEastAsia"/>
                <w:sz w:val="24"/>
              </w:rPr>
              <w:t>，以非甲烷总烃计。</w:t>
            </w:r>
          </w:p>
          <w:p>
            <w:pPr>
              <w:spacing w:line="360" w:lineRule="auto"/>
              <w:ind w:firstLine="480" w:firstLineChars="200"/>
              <w:rPr>
                <w:rFonts w:eastAsiaTheme="minorEastAsia"/>
                <w:sz w:val="24"/>
              </w:rPr>
            </w:pPr>
            <w:r>
              <w:rPr>
                <w:rFonts w:hAnsiTheme="minorEastAsia" w:eastAsiaTheme="minorEastAsia"/>
                <w:sz w:val="24"/>
              </w:rPr>
              <w:t>检验</w:t>
            </w:r>
            <w:r>
              <w:rPr>
                <w:rFonts w:eastAsiaTheme="minorEastAsia"/>
                <w:sz w:val="24"/>
              </w:rPr>
              <w:t>：</w:t>
            </w:r>
            <w:r>
              <w:rPr>
                <w:rFonts w:hAnsiTheme="minorEastAsia" w:eastAsiaTheme="minorEastAsia"/>
                <w:sz w:val="24"/>
              </w:rPr>
              <w:t>取出样品，检查其外观是否符合要求，接着利用硬度计，对产品的硬度品质进行检验，之后如客户有指定的话，利用金属切断机将样品切断，产生边角料</w:t>
            </w:r>
            <w:r>
              <w:rPr>
                <w:rFonts w:eastAsiaTheme="minorEastAsia"/>
                <w:sz w:val="24"/>
              </w:rPr>
              <w:t>S</w:t>
            </w:r>
            <w:r>
              <w:rPr>
                <w:rFonts w:eastAsiaTheme="minorEastAsia"/>
                <w:sz w:val="24"/>
                <w:vertAlign w:val="subscript"/>
              </w:rPr>
              <w:t>11</w:t>
            </w:r>
            <w:r>
              <w:rPr>
                <w:rFonts w:eastAsiaTheme="minorEastAsia"/>
                <w:sz w:val="24"/>
              </w:rPr>
              <w:t>，</w:t>
            </w:r>
            <w:r>
              <w:rPr>
                <w:rFonts w:hAnsiTheme="minorEastAsia" w:eastAsiaTheme="minorEastAsia"/>
                <w:sz w:val="24"/>
              </w:rPr>
              <w:t>期间加入少量水对产品进行润滑及降温，切割废水</w:t>
            </w:r>
            <w:r>
              <w:rPr>
                <w:rFonts w:eastAsiaTheme="minorEastAsia"/>
                <w:sz w:val="24"/>
              </w:rPr>
              <w:t>W</w:t>
            </w:r>
            <w:r>
              <w:rPr>
                <w:rFonts w:eastAsiaTheme="minorEastAsia"/>
                <w:sz w:val="24"/>
                <w:vertAlign w:val="subscript"/>
              </w:rPr>
              <w:t>1</w:t>
            </w:r>
            <w:r>
              <w:rPr>
                <w:rFonts w:hAnsiTheme="minorEastAsia" w:eastAsiaTheme="minorEastAsia"/>
                <w:sz w:val="24"/>
              </w:rPr>
              <w:t>经过滤后产生滤渣</w:t>
            </w:r>
            <w:r>
              <w:rPr>
                <w:rFonts w:eastAsiaTheme="minorEastAsia"/>
                <w:sz w:val="24"/>
              </w:rPr>
              <w:t>S</w:t>
            </w:r>
            <w:r>
              <w:rPr>
                <w:rFonts w:eastAsiaTheme="minorEastAsia"/>
                <w:sz w:val="24"/>
                <w:vertAlign w:val="subscript"/>
              </w:rPr>
              <w:t>12</w:t>
            </w:r>
            <w:r>
              <w:rPr>
                <w:rFonts w:eastAsiaTheme="minorEastAsia"/>
                <w:sz w:val="24"/>
              </w:rPr>
              <w:t>，</w:t>
            </w:r>
            <w:r>
              <w:rPr>
                <w:rFonts w:hAnsiTheme="minorEastAsia" w:eastAsiaTheme="minorEastAsia"/>
                <w:sz w:val="24"/>
              </w:rPr>
              <w:t>部分产品体积较小，无法手持研磨，需加入树脂材料嵌入样品嵌入机，随后再用研磨机对切割机断面进行研磨，期间加入少量水对产品进行润滑及降温，研磨废水</w:t>
            </w:r>
            <w:r>
              <w:rPr>
                <w:rFonts w:eastAsiaTheme="minorEastAsia"/>
                <w:sz w:val="24"/>
              </w:rPr>
              <w:t>W</w:t>
            </w:r>
            <w:r>
              <w:rPr>
                <w:rFonts w:eastAsiaTheme="minorEastAsia"/>
                <w:sz w:val="24"/>
                <w:vertAlign w:val="subscript"/>
              </w:rPr>
              <w:t>2</w:t>
            </w:r>
            <w:r>
              <w:rPr>
                <w:rFonts w:hAnsiTheme="minorEastAsia" w:eastAsiaTheme="minorEastAsia"/>
                <w:sz w:val="24"/>
              </w:rPr>
              <w:t>经过滤后产生滤渣</w:t>
            </w:r>
            <w:r>
              <w:rPr>
                <w:rFonts w:eastAsiaTheme="minorEastAsia"/>
                <w:sz w:val="24"/>
              </w:rPr>
              <w:t>S</w:t>
            </w:r>
            <w:r>
              <w:rPr>
                <w:rFonts w:eastAsiaTheme="minorEastAsia"/>
                <w:sz w:val="24"/>
                <w:vertAlign w:val="subscript"/>
              </w:rPr>
              <w:t>13</w:t>
            </w:r>
            <w:r>
              <w:rPr>
                <w:rFonts w:eastAsiaTheme="minorEastAsia"/>
                <w:sz w:val="24"/>
              </w:rPr>
              <w:t>，</w:t>
            </w:r>
            <w:r>
              <w:rPr>
                <w:rFonts w:hAnsiTheme="minorEastAsia" w:eastAsiaTheme="minorEastAsia"/>
                <w:sz w:val="24"/>
              </w:rPr>
              <w:t>此外，研磨砂纸需定期更换，在此过程中产生废砂纸</w:t>
            </w:r>
            <w:r>
              <w:rPr>
                <w:rFonts w:eastAsiaTheme="minorEastAsia"/>
                <w:sz w:val="24"/>
              </w:rPr>
              <w:t>S</w:t>
            </w:r>
            <w:r>
              <w:rPr>
                <w:rFonts w:eastAsiaTheme="minorEastAsia"/>
                <w:sz w:val="24"/>
                <w:vertAlign w:val="subscript"/>
              </w:rPr>
              <w:t>14</w:t>
            </w:r>
            <w:r>
              <w:rPr>
                <w:rFonts w:eastAsiaTheme="minorEastAsia"/>
                <w:sz w:val="24"/>
              </w:rPr>
              <w:t>，</w:t>
            </w:r>
            <w:r>
              <w:rPr>
                <w:rFonts w:hAnsiTheme="minorEastAsia" w:eastAsiaTheme="minorEastAsia"/>
                <w:sz w:val="24"/>
              </w:rPr>
              <w:t>然后将样品放入金相显微镜下观察</w:t>
            </w:r>
            <w:r>
              <w:rPr>
                <w:rFonts w:eastAsiaTheme="minorEastAsia"/>
                <w:sz w:val="24"/>
              </w:rPr>
              <w:t>，</w:t>
            </w:r>
            <w:r>
              <w:rPr>
                <w:rFonts w:hAnsiTheme="minorEastAsia" w:eastAsiaTheme="minorEastAsia"/>
                <w:sz w:val="24"/>
              </w:rPr>
              <w:t>看其组织是否符合要求即可，实验完后产生实验废品</w:t>
            </w:r>
            <w:r>
              <w:rPr>
                <w:rFonts w:eastAsiaTheme="minorEastAsia"/>
                <w:sz w:val="24"/>
              </w:rPr>
              <w:t>S</w:t>
            </w:r>
            <w:r>
              <w:rPr>
                <w:rFonts w:eastAsiaTheme="minorEastAsia"/>
                <w:sz w:val="24"/>
                <w:vertAlign w:val="subscript"/>
              </w:rPr>
              <w:t>15</w:t>
            </w:r>
            <w:r>
              <w:rPr>
                <w:rFonts w:hAnsiTheme="minorEastAsia" w:eastAsiaTheme="minorEastAsia"/>
                <w:sz w:val="24"/>
              </w:rPr>
              <w:t>，根据客户要求，产生的废品部分需要交给客户，以便客户进行查验、校对，其余废品客户无回收要求的，则外售综合利用。</w:t>
            </w:r>
          </w:p>
          <w:p>
            <w:pPr>
              <w:spacing w:line="360" w:lineRule="auto"/>
              <w:ind w:firstLine="420" w:firstLineChars="200"/>
              <w:rPr>
                <w:rFonts w:ascii="宋体" w:hAnsi="宋体" w:cs="宋体"/>
                <w:sz w:val="24"/>
              </w:rPr>
            </w:pPr>
            <w:r>
              <w:pict>
                <v:shape id="_x0000_s1031" o:spid="_x0000_s1031" o:spt="75" type="#_x0000_t75" style="position:absolute;left:0pt;margin-left:0.5pt;margin-top:29.35pt;height:127.85pt;width:421pt;z-index:-251654144;mso-width-relative:page;mso-height-relative:page;" o:ole="t" filled="f" o:preferrelative="t" stroked="f" coordsize="21600,21600">
                  <v:path/>
                  <v:fill on="f" focussize="0,0"/>
                  <v:stroke on="f" joinstyle="miter"/>
                  <v:imagedata r:id="rId16" o:title=""/>
                  <o:lock v:ext="edit" aspectratio="t"/>
                </v:shape>
                <o:OLEObject Type="Embed" ProgID="Visio.Drawing.11" ShapeID="_x0000_s1031" DrawAspect="Content" ObjectID="_1468075728" r:id="rId15">
                  <o:LockedField>false</o:LockedField>
                </o:OLEObject>
              </w:pict>
            </w:r>
            <w:r>
              <w:rPr>
                <w:rFonts w:hAnsiTheme="minorEastAsia" w:eastAsiaTheme="minorEastAsia"/>
                <w:sz w:val="24"/>
              </w:rPr>
              <w:t>工件检验合格后，根据客户需求部分产品需喷涂防锈油，随后包装、入库。</w:t>
            </w:r>
          </w:p>
          <w:p>
            <w:pPr>
              <w:spacing w:line="480" w:lineRule="exact"/>
              <w:ind w:firstLine="480"/>
              <w:jc w:val="center"/>
              <w:rPr>
                <w:b/>
                <w:sz w:val="24"/>
              </w:rPr>
            </w:pPr>
          </w:p>
          <w:p>
            <w:pPr>
              <w:spacing w:line="480" w:lineRule="exact"/>
              <w:rPr>
                <w:rFonts w:hAnsi="宋体"/>
                <w:b/>
                <w:sz w:val="24"/>
              </w:rPr>
            </w:pPr>
          </w:p>
          <w:p>
            <w:pPr>
              <w:spacing w:line="480" w:lineRule="exact"/>
              <w:ind w:firstLine="480"/>
              <w:jc w:val="center"/>
            </w:pPr>
          </w:p>
          <w:p>
            <w:pPr>
              <w:spacing w:line="480" w:lineRule="exact"/>
            </w:pPr>
          </w:p>
          <w:p>
            <w:pPr>
              <w:spacing w:line="480" w:lineRule="exact"/>
            </w:pPr>
          </w:p>
          <w:p>
            <w:pPr>
              <w:spacing w:line="480" w:lineRule="exact"/>
            </w:pPr>
            <w:r>
              <w:pict>
                <v:shape id="_x0000_s1032" o:spid="_x0000_s1032" o:spt="75" type="#_x0000_t75" style="position:absolute;left:0pt;margin-left:74.6pt;margin-top:18.95pt;height:34.55pt;width:229.8pt;z-index:-251653120;mso-width-relative:page;mso-height-relative:page;" o:ole="t" filled="f" o:preferrelative="t" stroked="f" coordsize="21600,21600">
                  <v:path/>
                  <v:fill on="f" focussize="0,0"/>
                  <v:stroke on="f" joinstyle="miter"/>
                  <v:imagedata r:id="rId18" o:title=""/>
                  <o:lock v:ext="edit" aspectratio="t"/>
                </v:shape>
                <o:OLEObject Type="Embed" ProgID="Visio.Drawing.11" ShapeID="_x0000_s1032" DrawAspect="Content" ObjectID="_1468075729" r:id="rId17">
                  <o:LockedField>false</o:LockedField>
                </o:OLEObject>
              </w:pict>
            </w:r>
          </w:p>
          <w:p>
            <w:pPr>
              <w:spacing w:line="480" w:lineRule="exact"/>
              <w:rPr>
                <w:b/>
                <w:sz w:val="24"/>
              </w:rPr>
            </w:pPr>
          </w:p>
          <w:p>
            <w:pPr>
              <w:spacing w:line="480" w:lineRule="exact"/>
              <w:ind w:firstLine="480"/>
              <w:jc w:val="center"/>
              <w:rPr>
                <w:b/>
                <w:sz w:val="24"/>
              </w:rPr>
            </w:pPr>
            <w:r>
              <w:rPr>
                <w:rFonts w:hint="eastAsia"/>
                <w:b/>
                <w:sz w:val="24"/>
              </w:rPr>
              <w:t>图2-2  消磁热处理工艺流程图及产污环节</w:t>
            </w:r>
          </w:p>
          <w:p>
            <w:pPr>
              <w:spacing w:line="360" w:lineRule="auto"/>
              <w:ind w:firstLine="482" w:firstLineChars="200"/>
              <w:rPr>
                <w:rFonts w:eastAsiaTheme="minorEastAsia"/>
                <w:b/>
                <w:sz w:val="24"/>
              </w:rPr>
            </w:pPr>
            <w:r>
              <w:rPr>
                <w:rFonts w:hAnsiTheme="minorEastAsia" w:eastAsiaTheme="minorEastAsia"/>
                <w:b/>
                <w:sz w:val="24"/>
              </w:rPr>
              <w:t>工艺流程简述</w:t>
            </w:r>
            <w:r>
              <w:rPr>
                <w:rFonts w:eastAsiaTheme="minorEastAsia"/>
                <w:b/>
                <w:sz w:val="24"/>
              </w:rPr>
              <w:t>：</w:t>
            </w:r>
          </w:p>
          <w:p>
            <w:pPr>
              <w:spacing w:line="360" w:lineRule="auto"/>
              <w:ind w:firstLine="480" w:firstLineChars="200"/>
              <w:rPr>
                <w:rFonts w:eastAsiaTheme="minorEastAsia"/>
                <w:sz w:val="24"/>
              </w:rPr>
            </w:pPr>
            <w:r>
              <w:rPr>
                <w:rFonts w:hAnsiTheme="minorEastAsia" w:eastAsiaTheme="minorEastAsia"/>
                <w:sz w:val="24"/>
              </w:rPr>
              <w:t>脱脂清洗</w:t>
            </w:r>
            <w:r>
              <w:rPr>
                <w:rFonts w:eastAsiaTheme="minorEastAsia"/>
                <w:sz w:val="24"/>
              </w:rPr>
              <w:t>：</w:t>
            </w:r>
            <w:r>
              <w:rPr>
                <w:rFonts w:hAnsiTheme="minorEastAsia" w:eastAsiaTheme="minorEastAsia"/>
                <w:sz w:val="24"/>
              </w:rPr>
              <w:t>将功能部件用行车放入真空清洗机内在</w:t>
            </w:r>
            <w:r>
              <w:rPr>
                <w:rFonts w:eastAsiaTheme="minorEastAsia"/>
                <w:sz w:val="24"/>
              </w:rPr>
              <w:t>60-80℃</w:t>
            </w:r>
            <w:r>
              <w:rPr>
                <w:rFonts w:hAnsiTheme="minorEastAsia" w:eastAsiaTheme="minorEastAsia"/>
                <w:sz w:val="24"/>
              </w:rPr>
              <w:t>条件下使用清洗液对工件清洗</w:t>
            </w:r>
            <w:r>
              <w:rPr>
                <w:rFonts w:eastAsiaTheme="minorEastAsia"/>
                <w:sz w:val="24"/>
              </w:rPr>
              <w:t>30-40min，</w:t>
            </w:r>
            <w:r>
              <w:rPr>
                <w:rFonts w:hAnsiTheme="minorEastAsia" w:eastAsiaTheme="minorEastAsia"/>
                <w:sz w:val="24"/>
              </w:rPr>
              <w:t>洗去工件表面的油污及灰尘，清洗液经过滤槽过滤，产生过滤废渣</w:t>
            </w:r>
            <w:r>
              <w:rPr>
                <w:rFonts w:eastAsiaTheme="minorEastAsia"/>
                <w:sz w:val="24"/>
              </w:rPr>
              <w:t>S</w:t>
            </w:r>
            <w:r>
              <w:rPr>
                <w:rFonts w:eastAsiaTheme="minorEastAsia"/>
                <w:sz w:val="24"/>
                <w:vertAlign w:val="subscript"/>
              </w:rPr>
              <w:t>6</w:t>
            </w:r>
            <w:r>
              <w:rPr>
                <w:rFonts w:eastAsiaTheme="minorEastAsia"/>
                <w:sz w:val="24"/>
              </w:rPr>
              <w:t>，</w:t>
            </w:r>
            <w:r>
              <w:rPr>
                <w:rFonts w:hAnsiTheme="minorEastAsia" w:eastAsiaTheme="minorEastAsia"/>
                <w:sz w:val="24"/>
              </w:rPr>
              <w:t>加热过程中需要用热媒体油进行导热，待清洗效果不佳时，需要重新更换新的热媒体油，产生废热媒体油</w:t>
            </w:r>
            <w:r>
              <w:rPr>
                <w:rFonts w:eastAsiaTheme="minorEastAsia"/>
                <w:sz w:val="24"/>
              </w:rPr>
              <w:t>S</w:t>
            </w:r>
            <w:r>
              <w:rPr>
                <w:rFonts w:eastAsiaTheme="minorEastAsia"/>
                <w:sz w:val="24"/>
                <w:vertAlign w:val="subscript"/>
              </w:rPr>
              <w:t>7</w:t>
            </w:r>
            <w:r>
              <w:rPr>
                <w:rFonts w:eastAsiaTheme="minorEastAsia"/>
                <w:sz w:val="24"/>
              </w:rPr>
              <w:t>，</w:t>
            </w:r>
            <w:r>
              <w:rPr>
                <w:rFonts w:hAnsiTheme="minorEastAsia" w:eastAsiaTheme="minorEastAsia"/>
                <w:sz w:val="24"/>
              </w:rPr>
              <w:t>之后利用清洗机内置的干燥系统真空干燥，真空清洗、真空干燥收集气相经冷凝后产生不凝废气</w:t>
            </w:r>
            <w:r>
              <w:rPr>
                <w:rFonts w:eastAsiaTheme="minorEastAsia"/>
                <w:sz w:val="24"/>
              </w:rPr>
              <w:t>G</w:t>
            </w:r>
            <w:r>
              <w:rPr>
                <w:rFonts w:eastAsiaTheme="minorEastAsia"/>
                <w:sz w:val="24"/>
                <w:vertAlign w:val="subscript"/>
              </w:rPr>
              <w:t>3</w:t>
            </w:r>
            <w:r>
              <w:rPr>
                <w:rFonts w:eastAsiaTheme="minorEastAsia"/>
                <w:sz w:val="24"/>
              </w:rPr>
              <w:t>，</w:t>
            </w:r>
            <w:r>
              <w:rPr>
                <w:rFonts w:hAnsiTheme="minorEastAsia" w:eastAsiaTheme="minorEastAsia"/>
                <w:sz w:val="24"/>
              </w:rPr>
              <w:t>冷凝液相由蒸馏装置回收，此外，工件放入和取出时产生开关仓废气</w:t>
            </w:r>
            <w:r>
              <w:rPr>
                <w:rFonts w:eastAsiaTheme="minorEastAsia"/>
                <w:sz w:val="24"/>
              </w:rPr>
              <w:t>G</w:t>
            </w:r>
            <w:r>
              <w:rPr>
                <w:rFonts w:eastAsiaTheme="minorEastAsia"/>
                <w:sz w:val="24"/>
                <w:vertAlign w:val="subscript"/>
              </w:rPr>
              <w:t>4</w:t>
            </w:r>
            <w:r>
              <w:rPr>
                <w:rFonts w:eastAsiaTheme="minorEastAsia"/>
                <w:sz w:val="24"/>
              </w:rPr>
              <w:t>，</w:t>
            </w:r>
            <w:r>
              <w:rPr>
                <w:rFonts w:hAnsiTheme="minorEastAsia" w:eastAsiaTheme="minorEastAsia"/>
                <w:sz w:val="24"/>
              </w:rPr>
              <w:t>两股废气经收集后由活性炭吸附后排出，产生废活性炭</w:t>
            </w:r>
            <w:r>
              <w:rPr>
                <w:rFonts w:eastAsiaTheme="minorEastAsia"/>
                <w:sz w:val="24"/>
              </w:rPr>
              <w:t>S</w:t>
            </w:r>
            <w:r>
              <w:rPr>
                <w:rFonts w:eastAsiaTheme="minorEastAsia"/>
                <w:sz w:val="24"/>
                <w:vertAlign w:val="subscript"/>
              </w:rPr>
              <w:t>8</w:t>
            </w:r>
            <w:r>
              <w:rPr>
                <w:rFonts w:eastAsiaTheme="minorEastAsia"/>
                <w:sz w:val="24"/>
              </w:rPr>
              <w:t>，</w:t>
            </w:r>
            <w:r>
              <w:rPr>
                <w:rFonts w:hAnsiTheme="minorEastAsia" w:eastAsiaTheme="minorEastAsia"/>
                <w:sz w:val="24"/>
              </w:rPr>
              <w:t>清洗液经机体一体蒸馏设备蒸馏后的蒸馏残渣</w:t>
            </w:r>
            <w:r>
              <w:rPr>
                <w:rFonts w:eastAsiaTheme="minorEastAsia"/>
                <w:sz w:val="24"/>
              </w:rPr>
              <w:t>S</w:t>
            </w:r>
            <w:r>
              <w:rPr>
                <w:rFonts w:eastAsiaTheme="minorEastAsia"/>
                <w:sz w:val="24"/>
                <w:vertAlign w:val="subscript"/>
              </w:rPr>
              <w:t>9</w:t>
            </w:r>
            <w:r>
              <w:rPr>
                <w:rFonts w:hAnsiTheme="minorEastAsia" w:eastAsiaTheme="minorEastAsia"/>
                <w:sz w:val="24"/>
              </w:rPr>
              <w:t>用铁桶收集，作为危废。</w:t>
            </w:r>
          </w:p>
          <w:p>
            <w:pPr>
              <w:spacing w:line="360" w:lineRule="auto"/>
              <w:ind w:firstLine="480" w:firstLineChars="200"/>
              <w:rPr>
                <w:rFonts w:eastAsiaTheme="minorEastAsia"/>
                <w:sz w:val="24"/>
              </w:rPr>
            </w:pPr>
            <w:r>
              <w:rPr>
                <w:rFonts w:hAnsiTheme="minorEastAsia" w:eastAsiaTheme="minorEastAsia"/>
                <w:sz w:val="24"/>
              </w:rPr>
              <w:t>消磁退火</w:t>
            </w:r>
            <w:r>
              <w:rPr>
                <w:rFonts w:eastAsiaTheme="minorEastAsia"/>
                <w:sz w:val="24"/>
              </w:rPr>
              <w:t>：</w:t>
            </w:r>
            <w:r>
              <w:rPr>
                <w:rFonts w:hAnsiTheme="minorEastAsia" w:eastAsiaTheme="minorEastAsia"/>
                <w:sz w:val="24"/>
              </w:rPr>
              <w:t>退火设备采用多室真空炉，抽真空过程中真空泵油挥发，产生有机废气</w:t>
            </w:r>
            <w:r>
              <w:rPr>
                <w:rFonts w:eastAsiaTheme="minorEastAsia"/>
                <w:sz w:val="24"/>
              </w:rPr>
              <w:t>G</w:t>
            </w:r>
            <w:r>
              <w:rPr>
                <w:rFonts w:eastAsiaTheme="minorEastAsia"/>
                <w:sz w:val="24"/>
                <w:vertAlign w:val="subscript"/>
              </w:rPr>
              <w:t>7</w:t>
            </w:r>
            <w:r>
              <w:rPr>
                <w:rFonts w:hAnsiTheme="minorEastAsia" w:eastAsiaTheme="minorEastAsia"/>
                <w:sz w:val="24"/>
              </w:rPr>
              <w:t>，以非甲烷总烃计。</w:t>
            </w:r>
          </w:p>
          <w:p>
            <w:pPr>
              <w:spacing w:line="360" w:lineRule="auto"/>
              <w:ind w:firstLine="480" w:firstLineChars="200"/>
              <w:rPr>
                <w:sz w:val="24"/>
              </w:rPr>
            </w:pPr>
            <w:r>
              <w:rPr>
                <w:rFonts w:hAnsiTheme="minorEastAsia" w:eastAsiaTheme="minorEastAsia"/>
                <w:sz w:val="24"/>
              </w:rPr>
              <w:t>检验</w:t>
            </w:r>
            <w:r>
              <w:rPr>
                <w:rFonts w:eastAsiaTheme="minorEastAsia"/>
                <w:sz w:val="24"/>
              </w:rPr>
              <w:t>：</w:t>
            </w:r>
            <w:r>
              <w:rPr>
                <w:rFonts w:hAnsiTheme="minorEastAsia" w:eastAsiaTheme="minorEastAsia"/>
                <w:sz w:val="24"/>
              </w:rPr>
              <w:t>取出样品，外观检查是否符合要求，接着用磁性自动检测仪对产品的磁</w:t>
            </w:r>
            <w:r>
              <w:rPr>
                <w:rFonts w:hint="eastAsia" w:hAnsiTheme="minorEastAsia" w:eastAsiaTheme="minorEastAsia"/>
                <w:sz w:val="24"/>
              </w:rPr>
              <w:t>力</w:t>
            </w:r>
            <w:r>
              <w:rPr>
                <w:rFonts w:hAnsiTheme="minorEastAsia" w:eastAsiaTheme="minorEastAsia"/>
                <w:sz w:val="24"/>
              </w:rPr>
              <w:t>特性进行检测即可，本实验为非破坏性检验，产品检验完成后重新包装入库。</w:t>
            </w:r>
          </w:p>
        </w:tc>
      </w:tr>
    </w:tbl>
    <w:p>
      <w:pPr>
        <w:rPr>
          <w:sz w:val="24"/>
        </w:rPr>
        <w:sectPr>
          <w:footerReference r:id="rId6" w:type="default"/>
          <w:pgSz w:w="11906" w:h="16838"/>
          <w:pgMar w:top="1276" w:right="1800" w:bottom="1276" w:left="1800" w:header="851" w:footer="992" w:gutter="0"/>
          <w:pgNumType w:fmt="numberInDash" w:start="1"/>
          <w:cols w:space="720" w:num="1"/>
          <w:docGrid w:type="lines" w:linePitch="312" w:charSpace="0"/>
        </w:sectPr>
      </w:pPr>
    </w:p>
    <w:p>
      <w:pPr>
        <w:outlineLvl w:val="0"/>
        <w:rPr>
          <w:sz w:val="24"/>
        </w:rPr>
      </w:pPr>
      <w:r>
        <w:rPr>
          <w:sz w:val="24"/>
        </w:rPr>
        <w:t>表三</w:t>
      </w:r>
    </w:p>
    <w:tbl>
      <w:tblPr>
        <w:tblStyle w:val="18"/>
        <w:tblpPr w:leftFromText="181" w:rightFromText="181" w:vertAnchor="text" w:horzAnchor="margin" w:tblpXSpec="center" w:tblpY="1"/>
        <w:tblOverlap w:val="never"/>
        <w:tblW w:w="9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4" w:hRule="atLeast"/>
          <w:jc w:val="center"/>
        </w:trPr>
        <w:tc>
          <w:tcPr>
            <w:tcW w:w="9299" w:type="dxa"/>
            <w:vAlign w:val="center"/>
          </w:tcPr>
          <w:p>
            <w:pPr>
              <w:adjustRightInd w:val="0"/>
              <w:snapToGrid w:val="0"/>
              <w:spacing w:line="360" w:lineRule="auto"/>
              <w:ind w:firstLine="482" w:firstLineChars="200"/>
              <w:rPr>
                <w:sz w:val="24"/>
              </w:rPr>
            </w:pPr>
            <w:r>
              <w:rPr>
                <w:b/>
                <w:sz w:val="24"/>
              </w:rPr>
              <w:t>主要污染源、污染物处理和排放（附处理流程示意图，标出废水、废气、厂界噪声监测点位）</w:t>
            </w:r>
          </w:p>
          <w:p>
            <w:pPr>
              <w:pStyle w:val="32"/>
              <w:numPr>
                <w:ilvl w:val="0"/>
                <w:numId w:val="2"/>
              </w:numPr>
              <w:adjustRightInd w:val="0"/>
              <w:snapToGrid w:val="0"/>
              <w:spacing w:line="360" w:lineRule="auto"/>
              <w:ind w:firstLineChars="0"/>
              <w:rPr>
                <w:sz w:val="24"/>
              </w:rPr>
            </w:pPr>
            <w:r>
              <w:rPr>
                <w:sz w:val="24"/>
              </w:rPr>
              <w:t>废水污染源及污染防治措施：</w:t>
            </w:r>
          </w:p>
          <w:p>
            <w:pPr>
              <w:spacing w:line="360" w:lineRule="auto"/>
              <w:ind w:firstLine="480" w:firstLineChars="200"/>
              <w:rPr>
                <w:sz w:val="24"/>
              </w:rPr>
            </w:pPr>
            <w:r>
              <w:rPr>
                <w:sz w:val="24"/>
              </w:rPr>
              <w:t>本项目</w:t>
            </w:r>
            <w:r>
              <w:rPr>
                <w:rFonts w:hint="eastAsia"/>
                <w:sz w:val="24"/>
              </w:rPr>
              <w:t>切割</w:t>
            </w:r>
            <w:r>
              <w:rPr>
                <w:sz w:val="24"/>
              </w:rPr>
              <w:t>废水</w:t>
            </w:r>
            <w:r>
              <w:rPr>
                <w:rFonts w:hint="eastAsia"/>
                <w:sz w:val="24"/>
              </w:rPr>
              <w:t>、</w:t>
            </w:r>
            <w:r>
              <w:rPr>
                <w:sz w:val="24"/>
              </w:rPr>
              <w:t>研磨废水经过滤后与生活污水接入常州江边污水处理厂处理</w:t>
            </w:r>
            <w:r>
              <w:rPr>
                <w:rFonts w:hint="eastAsia"/>
                <w:sz w:val="24"/>
              </w:rPr>
              <w:t>。</w:t>
            </w:r>
          </w:p>
          <w:p>
            <w:pPr>
              <w:jc w:val="center"/>
              <w:rPr>
                <w:sz w:val="24"/>
              </w:rPr>
            </w:pPr>
            <w:r>
              <w:rPr>
                <w:b/>
                <w:bCs/>
                <w:sz w:val="24"/>
              </w:rPr>
              <w:t>表3-1  废水产生、防治、排放及验收检测情况一览表</w:t>
            </w:r>
          </w:p>
          <w:tbl>
            <w:tblPr>
              <w:tblStyle w:val="18"/>
              <w:tblpPr w:leftFromText="181" w:rightFromText="181" w:vertAnchor="text" w:horzAnchor="page" w:tblpX="1917" w:tblpY="1"/>
              <w:tblOverlap w:val="never"/>
              <w:tblW w:w="908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2140"/>
              <w:gridCol w:w="2716"/>
              <w:gridCol w:w="2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475" w:type="dxa"/>
                  <w:vAlign w:val="center"/>
                </w:tcPr>
                <w:p>
                  <w:pPr>
                    <w:jc w:val="center"/>
                    <w:rPr>
                      <w:b/>
                      <w:bCs/>
                      <w:szCs w:val="21"/>
                    </w:rPr>
                  </w:pPr>
                  <w:r>
                    <w:rPr>
                      <w:rFonts w:hAnsi="宋体"/>
                      <w:b/>
                      <w:bCs/>
                      <w:szCs w:val="21"/>
                    </w:rPr>
                    <w:t>污染类别</w:t>
                  </w:r>
                </w:p>
              </w:tc>
              <w:tc>
                <w:tcPr>
                  <w:tcW w:w="2140" w:type="dxa"/>
                  <w:vAlign w:val="center"/>
                </w:tcPr>
                <w:p>
                  <w:pPr>
                    <w:jc w:val="center"/>
                    <w:rPr>
                      <w:b/>
                      <w:bCs/>
                      <w:szCs w:val="21"/>
                    </w:rPr>
                  </w:pPr>
                  <w:r>
                    <w:rPr>
                      <w:rFonts w:hAnsi="宋体"/>
                      <w:b/>
                      <w:bCs/>
                      <w:szCs w:val="21"/>
                    </w:rPr>
                    <w:t>污染源</w:t>
                  </w:r>
                </w:p>
              </w:tc>
              <w:tc>
                <w:tcPr>
                  <w:tcW w:w="2716" w:type="dxa"/>
                  <w:vAlign w:val="center"/>
                </w:tcPr>
                <w:p>
                  <w:pPr>
                    <w:jc w:val="center"/>
                    <w:rPr>
                      <w:b/>
                      <w:bCs/>
                      <w:szCs w:val="21"/>
                    </w:rPr>
                  </w:pPr>
                  <w:r>
                    <w:rPr>
                      <w:rFonts w:hAnsi="宋体"/>
                      <w:b/>
                      <w:bCs/>
                      <w:szCs w:val="21"/>
                    </w:rPr>
                    <w:t>设计防治措施</w:t>
                  </w:r>
                </w:p>
              </w:tc>
              <w:tc>
                <w:tcPr>
                  <w:tcW w:w="2752" w:type="dxa"/>
                  <w:vAlign w:val="center"/>
                </w:tcPr>
                <w:p>
                  <w:pPr>
                    <w:jc w:val="center"/>
                    <w:rPr>
                      <w:b/>
                      <w:bCs/>
                      <w:szCs w:val="21"/>
                    </w:rPr>
                  </w:pPr>
                  <w:r>
                    <w:rPr>
                      <w:rFonts w:hAnsi="宋体"/>
                      <w:b/>
                      <w:bCs/>
                      <w:szCs w:val="21"/>
                    </w:rPr>
                    <w:t>实际防治措施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475" w:type="dxa"/>
                  <w:vMerge w:val="restart"/>
                  <w:vAlign w:val="center"/>
                </w:tcPr>
                <w:p>
                  <w:pPr>
                    <w:jc w:val="center"/>
                    <w:rPr>
                      <w:rFonts w:hAnsi="宋体"/>
                      <w:szCs w:val="21"/>
                    </w:rPr>
                  </w:pPr>
                  <w:r>
                    <w:rPr>
                      <w:rFonts w:hAnsi="宋体"/>
                      <w:szCs w:val="21"/>
                    </w:rPr>
                    <w:t>废水</w:t>
                  </w:r>
                </w:p>
              </w:tc>
              <w:tc>
                <w:tcPr>
                  <w:tcW w:w="2140" w:type="dxa"/>
                  <w:vAlign w:val="center"/>
                </w:tcPr>
                <w:p>
                  <w:pPr>
                    <w:jc w:val="center"/>
                    <w:rPr>
                      <w:rFonts w:hAnsi="宋体"/>
                      <w:szCs w:val="21"/>
                    </w:rPr>
                  </w:pPr>
                  <w:r>
                    <w:rPr>
                      <w:rFonts w:hAnsi="宋体"/>
                      <w:szCs w:val="21"/>
                    </w:rPr>
                    <w:t>冷却塔排水</w:t>
                  </w:r>
                </w:p>
              </w:tc>
              <w:tc>
                <w:tcPr>
                  <w:tcW w:w="2716" w:type="dxa"/>
                  <w:vAlign w:val="center"/>
                </w:tcPr>
                <w:p>
                  <w:pPr>
                    <w:jc w:val="center"/>
                    <w:rPr>
                      <w:szCs w:val="21"/>
                    </w:rPr>
                  </w:pPr>
                  <w:r>
                    <w:rPr>
                      <w:szCs w:val="21"/>
                    </w:rPr>
                    <w:t>作为清下水排放</w:t>
                  </w:r>
                </w:p>
              </w:tc>
              <w:tc>
                <w:tcPr>
                  <w:tcW w:w="2752" w:type="dxa"/>
                  <w:vAlign w:val="center"/>
                </w:tcPr>
                <w:p>
                  <w:pPr>
                    <w:jc w:val="center"/>
                    <w:rPr>
                      <w:szCs w:val="21"/>
                    </w:rPr>
                  </w:pPr>
                  <w:r>
                    <w:rPr>
                      <w:rFonts w:hint="eastAsia"/>
                      <w:szCs w:val="21"/>
                    </w:rPr>
                    <w:t>作为清下水排放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475" w:type="dxa"/>
                  <w:vMerge w:val="continue"/>
                  <w:vAlign w:val="center"/>
                </w:tcPr>
                <w:p>
                  <w:pPr>
                    <w:jc w:val="center"/>
                    <w:rPr>
                      <w:szCs w:val="21"/>
                    </w:rPr>
                  </w:pPr>
                </w:p>
              </w:tc>
              <w:tc>
                <w:tcPr>
                  <w:tcW w:w="2140" w:type="dxa"/>
                  <w:vAlign w:val="center"/>
                </w:tcPr>
                <w:p>
                  <w:pPr>
                    <w:jc w:val="center"/>
                    <w:rPr>
                      <w:szCs w:val="21"/>
                    </w:rPr>
                  </w:pPr>
                  <w:r>
                    <w:rPr>
                      <w:rFonts w:hAnsi="宋体"/>
                      <w:szCs w:val="21"/>
                    </w:rPr>
                    <w:t>生活污水</w:t>
                  </w:r>
                </w:p>
              </w:tc>
              <w:tc>
                <w:tcPr>
                  <w:tcW w:w="2716" w:type="dxa"/>
                  <w:vMerge w:val="restart"/>
                  <w:vAlign w:val="center"/>
                </w:tcPr>
                <w:p>
                  <w:pPr>
                    <w:jc w:val="center"/>
                    <w:rPr>
                      <w:szCs w:val="21"/>
                    </w:rPr>
                  </w:pPr>
                  <w:r>
                    <w:rPr>
                      <w:rFonts w:hint="eastAsia"/>
                      <w:szCs w:val="21"/>
                    </w:rPr>
                    <w:t>切割</w:t>
                  </w:r>
                  <w:r>
                    <w:rPr>
                      <w:szCs w:val="21"/>
                    </w:rPr>
                    <w:t>废水</w:t>
                  </w:r>
                  <w:r>
                    <w:rPr>
                      <w:rFonts w:hint="eastAsia"/>
                      <w:szCs w:val="21"/>
                    </w:rPr>
                    <w:t>、</w:t>
                  </w:r>
                  <w:r>
                    <w:rPr>
                      <w:szCs w:val="21"/>
                    </w:rPr>
                    <w:t>研磨废水经过滤后与</w:t>
                  </w:r>
                  <w:r>
                    <w:t>经化粪池预处理的生活污水一并</w:t>
                  </w:r>
                  <w:r>
                    <w:rPr>
                      <w:szCs w:val="21"/>
                    </w:rPr>
                    <w:t>接入常州江边污水处理厂</w:t>
                  </w:r>
                </w:p>
              </w:tc>
              <w:tc>
                <w:tcPr>
                  <w:tcW w:w="2752" w:type="dxa"/>
                  <w:vMerge w:val="restart"/>
                  <w:vAlign w:val="center"/>
                </w:tcPr>
                <w:p>
                  <w:pPr>
                    <w:jc w:val="center"/>
                    <w:rPr>
                      <w:szCs w:val="21"/>
                    </w:rPr>
                  </w:pPr>
                  <w:r>
                    <w:rPr>
                      <w:rFonts w:hint="eastAsia"/>
                      <w:szCs w:val="21"/>
                    </w:rPr>
                    <w:t>切割</w:t>
                  </w:r>
                  <w:r>
                    <w:rPr>
                      <w:szCs w:val="21"/>
                    </w:rPr>
                    <w:t>废水</w:t>
                  </w:r>
                  <w:r>
                    <w:rPr>
                      <w:rFonts w:hint="eastAsia"/>
                      <w:szCs w:val="21"/>
                    </w:rPr>
                    <w:t>、</w:t>
                  </w:r>
                  <w:r>
                    <w:rPr>
                      <w:szCs w:val="21"/>
                    </w:rPr>
                    <w:t>研磨废水经过滤后与</w:t>
                  </w:r>
                  <w:r>
                    <w:t>经化粪池预处理的生活污水一并</w:t>
                  </w:r>
                  <w:r>
                    <w:rPr>
                      <w:szCs w:val="21"/>
                    </w:rPr>
                    <w:t>接入常州江边污水处理厂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475" w:type="dxa"/>
                  <w:vMerge w:val="continue"/>
                  <w:vAlign w:val="center"/>
                </w:tcPr>
                <w:p>
                  <w:pPr>
                    <w:jc w:val="center"/>
                    <w:rPr>
                      <w:szCs w:val="21"/>
                    </w:rPr>
                  </w:pPr>
                </w:p>
              </w:tc>
              <w:tc>
                <w:tcPr>
                  <w:tcW w:w="2140" w:type="dxa"/>
                  <w:vAlign w:val="center"/>
                </w:tcPr>
                <w:p>
                  <w:pPr>
                    <w:jc w:val="center"/>
                    <w:rPr>
                      <w:szCs w:val="21"/>
                    </w:rPr>
                  </w:pPr>
                  <w:r>
                    <w:rPr>
                      <w:rFonts w:hint="eastAsia"/>
                      <w:szCs w:val="21"/>
                    </w:rPr>
                    <w:t>切割</w:t>
                  </w:r>
                  <w:r>
                    <w:rPr>
                      <w:szCs w:val="21"/>
                    </w:rPr>
                    <w:t>废水</w:t>
                  </w:r>
                  <w:r>
                    <w:rPr>
                      <w:rFonts w:hint="eastAsia"/>
                      <w:szCs w:val="21"/>
                    </w:rPr>
                    <w:t>、</w:t>
                  </w:r>
                  <w:r>
                    <w:rPr>
                      <w:szCs w:val="21"/>
                    </w:rPr>
                    <w:t>研磨废水</w:t>
                  </w:r>
                </w:p>
              </w:tc>
              <w:tc>
                <w:tcPr>
                  <w:tcW w:w="2716" w:type="dxa"/>
                  <w:vMerge w:val="continue"/>
                  <w:vAlign w:val="center"/>
                </w:tcPr>
                <w:p>
                  <w:pPr>
                    <w:jc w:val="center"/>
                    <w:rPr>
                      <w:szCs w:val="21"/>
                    </w:rPr>
                  </w:pPr>
                </w:p>
              </w:tc>
              <w:tc>
                <w:tcPr>
                  <w:tcW w:w="2752" w:type="dxa"/>
                  <w:vMerge w:val="continue"/>
                  <w:vAlign w:val="center"/>
                </w:tcPr>
                <w:p>
                  <w:pPr>
                    <w:jc w:val="center"/>
                    <w:rPr>
                      <w:szCs w:val="21"/>
                    </w:rPr>
                  </w:pPr>
                </w:p>
              </w:tc>
            </w:tr>
          </w:tbl>
          <w:p>
            <w:pPr>
              <w:adjustRightInd w:val="0"/>
              <w:snapToGrid w:val="0"/>
              <w:spacing w:beforeLines="50" w:line="360" w:lineRule="auto"/>
              <w:ind w:firstLine="480" w:firstLineChars="200"/>
              <w:rPr>
                <w:sz w:val="24"/>
              </w:rPr>
            </w:pPr>
            <w:r>
              <w:rPr>
                <w:sz w:val="24"/>
              </w:rPr>
              <w:t>2、废气</w:t>
            </w:r>
          </w:p>
          <w:p>
            <w:pPr>
              <w:spacing w:line="360" w:lineRule="auto"/>
              <w:ind w:firstLine="480" w:firstLineChars="200"/>
              <w:rPr>
                <w:sz w:val="24"/>
              </w:rPr>
            </w:pPr>
            <w:r>
              <w:rPr>
                <w:rFonts w:hAnsi="宋体"/>
                <w:sz w:val="24"/>
              </w:rPr>
              <w:t>本项目</w:t>
            </w:r>
            <w:r>
              <w:rPr>
                <w:rFonts w:hint="eastAsia" w:hAnsi="宋体"/>
                <w:sz w:val="24"/>
              </w:rPr>
              <w:t>脱脂</w:t>
            </w:r>
            <w:r>
              <w:rPr>
                <w:rFonts w:hAnsi="宋体"/>
                <w:sz w:val="24"/>
              </w:rPr>
              <w:t>清洗工序和淬火工序废气收集后共同经过</w:t>
            </w:r>
            <w:r>
              <w:rPr>
                <w:rFonts w:hint="eastAsia" w:hAnsi="宋体"/>
                <w:sz w:val="24"/>
              </w:rPr>
              <w:t>1</w:t>
            </w:r>
            <w:r>
              <w:rPr>
                <w:rFonts w:hAnsi="宋体"/>
                <w:sz w:val="24"/>
              </w:rPr>
              <w:t>套活性炭装置处理后通过</w:t>
            </w:r>
            <w:r>
              <w:rPr>
                <w:rFonts w:hint="eastAsia" w:hAnsi="宋体"/>
                <w:sz w:val="24"/>
              </w:rPr>
              <w:t>15米高排气筒FQ2排放；回火工序和消磁退火工序废气收集后分别经2套活性炭吸附装置处理后通过15米高排气筒FQ1排放</w:t>
            </w:r>
            <w:r>
              <w:rPr>
                <w:rFonts w:hAnsi="宋体"/>
                <w:sz w:val="24"/>
              </w:rPr>
              <w:t>。</w:t>
            </w:r>
            <w:r>
              <w:rPr>
                <w:sz w:val="24"/>
              </w:rPr>
              <w:t>废气治理工艺流程图如图3-1所示。</w:t>
            </w:r>
          </w:p>
          <w:p>
            <w:pPr>
              <w:spacing w:line="360" w:lineRule="auto"/>
              <w:jc w:val="center"/>
            </w:pPr>
            <w:r>
              <w:object>
                <v:shape id="_x0000_i1026" o:spt="75" type="#_x0000_t75" style="height:235.6pt;width:415.85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30" r:id="rId19">
                  <o:LockedField>false</o:LockedField>
                </o:OLEObject>
              </w:object>
            </w:r>
          </w:p>
          <w:p>
            <w:pPr>
              <w:spacing w:line="360" w:lineRule="auto"/>
              <w:jc w:val="center"/>
              <w:rPr>
                <w:b/>
                <w:sz w:val="24"/>
              </w:rPr>
            </w:pPr>
            <w:r>
              <w:rPr>
                <w:b/>
                <w:sz w:val="24"/>
              </w:rPr>
              <w:t xml:space="preserve">图3-1 </w:t>
            </w:r>
            <w:r>
              <w:rPr>
                <w:rFonts w:hint="eastAsia"/>
                <w:b/>
                <w:sz w:val="24"/>
              </w:rPr>
              <w:t xml:space="preserve"> </w:t>
            </w:r>
            <w:r>
              <w:rPr>
                <w:b/>
                <w:sz w:val="24"/>
              </w:rPr>
              <w:t>废气治理工艺流程图</w:t>
            </w:r>
          </w:p>
          <w:p>
            <w:pPr>
              <w:adjustRightInd w:val="0"/>
              <w:snapToGrid w:val="0"/>
              <w:spacing w:beforeLines="50" w:line="360" w:lineRule="auto"/>
              <w:ind w:firstLine="480" w:firstLineChars="200"/>
              <w:rPr>
                <w:sz w:val="24"/>
              </w:rPr>
            </w:pPr>
            <w:r>
              <w:rPr>
                <w:sz w:val="24"/>
              </w:rPr>
              <w:t>3、噪声污染源及污染防治措施</w:t>
            </w:r>
          </w:p>
          <w:p>
            <w:pPr>
              <w:spacing w:line="360" w:lineRule="auto"/>
              <w:ind w:firstLine="480" w:firstLineChars="200"/>
              <w:rPr>
                <w:rFonts w:hAnsi="宋体"/>
                <w:sz w:val="24"/>
              </w:rPr>
            </w:pPr>
            <w:r>
              <w:rPr>
                <w:rFonts w:hAnsi="宋体"/>
                <w:sz w:val="24"/>
              </w:rPr>
              <w:t>本项目主要噪声源为</w:t>
            </w:r>
            <w:r>
              <w:rPr>
                <w:rFonts w:hint="eastAsia" w:hAnsi="宋体"/>
                <w:sz w:val="24"/>
              </w:rPr>
              <w:t>金属切断机、样品研磨机</w:t>
            </w:r>
            <w:r>
              <w:rPr>
                <w:rFonts w:hAnsi="宋体"/>
                <w:sz w:val="24"/>
              </w:rPr>
              <w:t>等。</w:t>
            </w:r>
            <w:bookmarkStart w:id="4" w:name="OLE_LINK1"/>
            <w:r>
              <w:rPr>
                <w:rFonts w:hAnsi="宋体"/>
                <w:sz w:val="24"/>
              </w:rPr>
              <w:t>企业通过</w:t>
            </w:r>
            <w:r>
              <w:rPr>
                <w:rFonts w:hint="eastAsia" w:hAnsi="宋体"/>
                <w:sz w:val="24"/>
                <w:szCs w:val="21"/>
              </w:rPr>
              <w:t>墙体</w:t>
            </w:r>
            <w:r>
              <w:rPr>
                <w:rFonts w:hAnsi="宋体"/>
                <w:sz w:val="24"/>
                <w:szCs w:val="21"/>
              </w:rPr>
              <w:t>隔声</w:t>
            </w:r>
            <w:r>
              <w:rPr>
                <w:rFonts w:hint="eastAsia" w:hAnsi="宋体"/>
                <w:sz w:val="24"/>
                <w:szCs w:val="21"/>
              </w:rPr>
              <w:t>、</w:t>
            </w:r>
            <w:r>
              <w:rPr>
                <w:rFonts w:hAnsi="宋体"/>
                <w:sz w:val="24"/>
                <w:szCs w:val="21"/>
              </w:rPr>
              <w:t>距离衰减</w:t>
            </w:r>
            <w:r>
              <w:rPr>
                <w:rFonts w:hint="eastAsia" w:hAnsi="宋体"/>
                <w:sz w:val="24"/>
                <w:szCs w:val="21"/>
              </w:rPr>
              <w:t>、</w:t>
            </w:r>
            <w:r>
              <w:rPr>
                <w:rFonts w:hAnsi="宋体"/>
                <w:sz w:val="24"/>
                <w:szCs w:val="21"/>
              </w:rPr>
              <w:t>合理布置布局</w:t>
            </w:r>
            <w:r>
              <w:rPr>
                <w:rFonts w:hint="eastAsia" w:hAnsi="宋体"/>
                <w:sz w:val="24"/>
                <w:szCs w:val="21"/>
              </w:rPr>
              <w:t>，</w:t>
            </w:r>
            <w:r>
              <w:rPr>
                <w:rFonts w:hAnsi="宋体"/>
                <w:sz w:val="24"/>
                <w:szCs w:val="21"/>
              </w:rPr>
              <w:t>选用低噪声型号设备</w:t>
            </w:r>
            <w:r>
              <w:rPr>
                <w:rFonts w:hAnsi="宋体"/>
                <w:sz w:val="24"/>
              </w:rPr>
              <w:t>等降噪措施以降低噪声对周围环境的影响。</w:t>
            </w:r>
            <w:bookmarkEnd w:id="4"/>
            <w:r>
              <w:rPr>
                <w:sz w:val="24"/>
              </w:rPr>
              <w:t>本项目噪声监测点位示意图见图3-2。</w:t>
            </w:r>
          </w:p>
          <w:p>
            <w:pPr>
              <w:adjustRightInd w:val="0"/>
              <w:snapToGrid w:val="0"/>
              <w:spacing w:line="360" w:lineRule="auto"/>
              <w:jc w:val="center"/>
            </w:pPr>
            <w:r>
              <w:object>
                <v:shape id="_x0000_i1027" o:spt="75" type="#_x0000_t75" style="height:237.9pt;width:287.4pt;" o:ole="t" filled="f" o:preferrelative="t" stroked="f" coordsize="21600,21600">
                  <v:path/>
                  <v:fill on="f" focussize="0,0"/>
                  <v:stroke on="f" joinstyle="miter"/>
                  <v:imagedata r:id="rId22" o:title=""/>
                  <o:lock v:ext="edit" aspectratio="t"/>
                  <w10:wrap type="none"/>
                  <w10:anchorlock/>
                </v:shape>
                <o:OLEObject Type="Embed" ProgID="Visio.Drawing.11" ShapeID="_x0000_i1027" DrawAspect="Content" ObjectID="_1468075731" r:id="rId21">
                  <o:LockedField>false</o:LockedField>
                </o:OLEObject>
              </w:object>
            </w:r>
          </w:p>
          <w:p>
            <w:pPr>
              <w:adjustRightInd w:val="0"/>
              <w:snapToGrid w:val="0"/>
              <w:spacing w:line="360" w:lineRule="auto"/>
              <w:ind w:firstLine="482" w:firstLineChars="200"/>
              <w:jc w:val="center"/>
              <w:rPr>
                <w:b/>
                <w:bCs/>
                <w:sz w:val="24"/>
              </w:rPr>
            </w:pPr>
            <w:r>
              <w:rPr>
                <w:b/>
                <w:bCs/>
                <w:sz w:val="24"/>
              </w:rPr>
              <w:t>图3-2  本项目噪声监测点位示意图</w:t>
            </w:r>
          </w:p>
          <w:p>
            <w:pPr>
              <w:adjustRightInd w:val="0"/>
              <w:snapToGrid w:val="0"/>
              <w:spacing w:line="360" w:lineRule="auto"/>
              <w:ind w:firstLine="480" w:firstLineChars="200"/>
              <w:rPr>
                <w:sz w:val="24"/>
              </w:rPr>
            </w:pPr>
            <w:r>
              <w:rPr>
                <w:sz w:val="24"/>
              </w:rPr>
              <w:t>4、固体废弃物</w:t>
            </w:r>
          </w:p>
          <w:p>
            <w:pPr>
              <w:spacing w:line="360" w:lineRule="auto"/>
              <w:ind w:firstLine="480" w:firstLineChars="200"/>
              <w:jc w:val="left"/>
              <w:rPr>
                <w:sz w:val="24"/>
              </w:rPr>
            </w:pPr>
            <w:r>
              <w:rPr>
                <w:rFonts w:hint="eastAsia" w:hAnsi="宋体"/>
                <w:sz w:val="24"/>
              </w:rPr>
              <w:t>本项目产生的固废主要有生活垃圾、滤渣、废砂纸、废品、边角料、废热媒体油、过滤残渣、废活性炭、蒸馏残渣、废真空泵油等。生活垃圾、滤渣、废砂纸</w:t>
            </w:r>
            <w:r>
              <w:rPr>
                <w:rFonts w:hAnsi="宋体"/>
                <w:sz w:val="24"/>
              </w:rPr>
              <w:t>交由环卫部门定期清运</w:t>
            </w:r>
            <w:r>
              <w:rPr>
                <w:rFonts w:hint="eastAsia" w:hAnsi="宋体"/>
                <w:sz w:val="24"/>
              </w:rPr>
              <w:t>。废品</w:t>
            </w:r>
            <w:r>
              <w:rPr>
                <w:rFonts w:hAnsi="宋体"/>
                <w:sz w:val="24"/>
              </w:rPr>
              <w:t>部分外售综合利用，部分交给客户</w:t>
            </w:r>
            <w:r>
              <w:rPr>
                <w:rFonts w:hint="eastAsia" w:hAnsi="宋体"/>
                <w:sz w:val="24"/>
              </w:rPr>
              <w:t>，</w:t>
            </w:r>
            <w:r>
              <w:rPr>
                <w:sz w:val="24"/>
              </w:rPr>
              <w:t>边角料外售综合利用</w:t>
            </w:r>
            <w:r>
              <w:rPr>
                <w:rFonts w:hint="eastAsia"/>
                <w:sz w:val="24"/>
              </w:rPr>
              <w:t>。</w:t>
            </w:r>
            <w:r>
              <w:rPr>
                <w:rFonts w:hint="eastAsia" w:hAnsi="宋体"/>
                <w:sz w:val="24"/>
              </w:rPr>
              <w:t>废热媒体油、废真空泵油委托常州市锦云工业废弃物处理有限公司处置，过滤残渣、蒸馏残渣暂存于危废仓库，废活性炭暂未产生，企业承诺</w:t>
            </w:r>
            <w:r>
              <w:rPr>
                <w:sz w:val="24"/>
              </w:rPr>
              <w:t>及时签订危险废物处置协议，在找到合适的固废处置单位前于厂区内规范贮存</w:t>
            </w:r>
            <w:r>
              <w:rPr>
                <w:rFonts w:hint="eastAsia"/>
                <w:sz w:val="24"/>
              </w:rPr>
              <w:t>。</w:t>
            </w:r>
            <w:r>
              <w:rPr>
                <w:sz w:val="24"/>
              </w:rPr>
              <w:br w:type="page"/>
            </w:r>
          </w:p>
          <w:p>
            <w:pPr>
              <w:rPr>
                <w:sz w:val="24"/>
              </w:rPr>
            </w:pPr>
          </w:p>
          <w:p>
            <w:pPr>
              <w:rPr>
                <w:sz w:val="24"/>
              </w:rPr>
            </w:pPr>
          </w:p>
          <w:p>
            <w:pP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0" w:firstLineChars="200"/>
              <w:jc w:val="center"/>
              <w:rPr>
                <w:sz w:val="24"/>
              </w:rPr>
            </w:pPr>
          </w:p>
          <w:p>
            <w:pPr>
              <w:ind w:firstLine="482" w:firstLineChars="200"/>
              <w:jc w:val="center"/>
              <w:rPr>
                <w:b/>
                <w:bCs/>
                <w:sz w:val="24"/>
              </w:rPr>
            </w:pPr>
            <w:r>
              <w:rPr>
                <w:b/>
                <w:bCs/>
                <w:sz w:val="24"/>
              </w:rPr>
              <w:t>表3-2  固废产生及处理去向</w:t>
            </w:r>
          </w:p>
          <w:tbl>
            <w:tblPr>
              <w:tblStyle w:val="18"/>
              <w:tblW w:w="908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1"/>
              <w:gridCol w:w="1081"/>
              <w:gridCol w:w="961"/>
              <w:gridCol w:w="656"/>
              <w:gridCol w:w="1459"/>
              <w:gridCol w:w="979"/>
              <w:gridCol w:w="1106"/>
              <w:gridCol w:w="992"/>
              <w:gridCol w:w="1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vMerge w:val="restart"/>
                  <w:tcBorders>
                    <w:top w:val="single" w:color="auto" w:sz="12" w:space="0"/>
                    <w:left w:val="nil"/>
                    <w:bottom w:val="single" w:color="auto" w:sz="4" w:space="0"/>
                    <w:right w:val="single" w:color="auto" w:sz="4" w:space="0"/>
                    <w:tl2br w:val="nil"/>
                    <w:tr2bl w:val="nil"/>
                  </w:tcBorders>
                  <w:vAlign w:val="center"/>
                </w:tcPr>
                <w:p>
                  <w:pPr>
                    <w:pStyle w:val="47"/>
                    <w:rPr>
                      <w:b/>
                    </w:rPr>
                  </w:pPr>
                  <w:r>
                    <w:rPr>
                      <w:b/>
                    </w:rPr>
                    <w:t>序号</w:t>
                  </w:r>
                </w:p>
              </w:tc>
              <w:tc>
                <w:tcPr>
                  <w:tcW w:w="1081"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pStyle w:val="47"/>
                    <w:rPr>
                      <w:b/>
                    </w:rPr>
                  </w:pPr>
                  <w:r>
                    <w:rPr>
                      <w:b/>
                    </w:rPr>
                    <w:t>固废名称</w:t>
                  </w:r>
                </w:p>
              </w:tc>
              <w:tc>
                <w:tcPr>
                  <w:tcW w:w="961"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pStyle w:val="47"/>
                    <w:rPr>
                      <w:b/>
                    </w:rPr>
                  </w:pPr>
                  <w:r>
                    <w:rPr>
                      <w:b/>
                    </w:rPr>
                    <w:t>属性</w:t>
                  </w:r>
                </w:p>
              </w:tc>
              <w:tc>
                <w:tcPr>
                  <w:tcW w:w="656"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pStyle w:val="47"/>
                    <w:rPr>
                      <w:b/>
                    </w:rPr>
                  </w:pPr>
                  <w:r>
                    <w:rPr>
                      <w:b/>
                    </w:rPr>
                    <w:t>产生</w:t>
                  </w:r>
                </w:p>
                <w:p>
                  <w:pPr>
                    <w:pStyle w:val="47"/>
                    <w:rPr>
                      <w:b/>
                    </w:rPr>
                  </w:pPr>
                  <w:r>
                    <w:rPr>
                      <w:b/>
                    </w:rPr>
                    <w:t>工序</w:t>
                  </w:r>
                </w:p>
              </w:tc>
              <w:tc>
                <w:tcPr>
                  <w:tcW w:w="1459" w:type="dxa"/>
                  <w:vMerge w:val="restart"/>
                  <w:tcBorders>
                    <w:top w:val="single" w:color="auto" w:sz="12" w:space="0"/>
                    <w:left w:val="single" w:color="auto" w:sz="4" w:space="0"/>
                    <w:bottom w:val="single" w:color="auto" w:sz="4" w:space="0"/>
                    <w:right w:val="single" w:color="auto" w:sz="4" w:space="0"/>
                    <w:tl2br w:val="nil"/>
                    <w:tr2bl w:val="nil"/>
                  </w:tcBorders>
                  <w:vAlign w:val="center"/>
                </w:tcPr>
                <w:p>
                  <w:pPr>
                    <w:pStyle w:val="47"/>
                    <w:rPr>
                      <w:b/>
                    </w:rPr>
                  </w:pPr>
                  <w:r>
                    <w:rPr>
                      <w:b/>
                    </w:rPr>
                    <w:t>废物</w:t>
                  </w:r>
                </w:p>
                <w:p>
                  <w:pPr>
                    <w:pStyle w:val="47"/>
                    <w:rPr>
                      <w:b/>
                    </w:rPr>
                  </w:pPr>
                  <w:r>
                    <w:rPr>
                      <w:b/>
                    </w:rPr>
                    <w:t>代码</w:t>
                  </w:r>
                </w:p>
              </w:tc>
              <w:tc>
                <w:tcPr>
                  <w:tcW w:w="3077" w:type="dxa"/>
                  <w:gridSpan w:val="3"/>
                  <w:tcBorders>
                    <w:top w:val="single" w:color="auto" w:sz="12" w:space="0"/>
                    <w:left w:val="single" w:color="auto" w:sz="4" w:space="0"/>
                    <w:bottom w:val="single" w:color="auto" w:sz="4" w:space="0"/>
                    <w:right w:val="single" w:color="auto" w:sz="4" w:space="0"/>
                    <w:tl2br w:val="nil"/>
                    <w:tr2bl w:val="nil"/>
                  </w:tcBorders>
                  <w:vAlign w:val="center"/>
                </w:tcPr>
                <w:p>
                  <w:pPr>
                    <w:pStyle w:val="47"/>
                    <w:rPr>
                      <w:b/>
                    </w:rPr>
                  </w:pPr>
                  <w:r>
                    <w:rPr>
                      <w:rFonts w:hint="eastAsia"/>
                      <w:b/>
                    </w:rPr>
                    <w:t>2018年8月~2019年4月</w:t>
                  </w:r>
                </w:p>
              </w:tc>
              <w:tc>
                <w:tcPr>
                  <w:tcW w:w="1428" w:type="dxa"/>
                  <w:vMerge w:val="restart"/>
                  <w:tcBorders>
                    <w:top w:val="single" w:color="auto" w:sz="12" w:space="0"/>
                    <w:left w:val="single" w:color="auto" w:sz="4" w:space="0"/>
                    <w:bottom w:val="single" w:color="auto" w:sz="4" w:space="0"/>
                    <w:right w:val="nil"/>
                    <w:tl2br w:val="nil"/>
                    <w:tr2bl w:val="nil"/>
                  </w:tcBorders>
                  <w:vAlign w:val="center"/>
                </w:tcPr>
                <w:p>
                  <w:pPr>
                    <w:pStyle w:val="47"/>
                    <w:rPr>
                      <w:b/>
                    </w:rPr>
                  </w:pPr>
                  <w:r>
                    <w:rPr>
                      <w:b/>
                    </w:rPr>
                    <w:t>利用处置方式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vMerge w:val="continue"/>
                  <w:tcBorders>
                    <w:top w:val="single" w:color="auto" w:sz="4" w:space="0"/>
                    <w:left w:val="nil"/>
                    <w:bottom w:val="single" w:color="auto" w:sz="4" w:space="0"/>
                    <w:right w:val="single" w:color="auto" w:sz="4" w:space="0"/>
                    <w:tl2br w:val="nil"/>
                    <w:tr2bl w:val="nil"/>
                  </w:tcBorders>
                  <w:vAlign w:val="center"/>
                </w:tcPr>
                <w:p>
                  <w:pPr>
                    <w:pStyle w:val="47"/>
                    <w:rPr>
                      <w:b/>
                    </w:rPr>
                  </w:pPr>
                </w:p>
              </w:tc>
              <w:tc>
                <w:tcPr>
                  <w:tcW w:w="108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p>
              </w:tc>
              <w:tc>
                <w:tcPr>
                  <w:tcW w:w="961"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p>
              </w:tc>
              <w:tc>
                <w:tcPr>
                  <w:tcW w:w="656"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p>
              </w:tc>
              <w:tc>
                <w:tcPr>
                  <w:tcW w:w="1459"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r>
                    <w:rPr>
                      <w:b/>
                    </w:rPr>
                    <w:t>产生量</w:t>
                  </w:r>
                  <w:r>
                    <w:rPr>
                      <w:rFonts w:hint="eastAsia"/>
                      <w:b/>
                    </w:rPr>
                    <w:t>（t）</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r>
                    <w:rPr>
                      <w:b/>
                    </w:rPr>
                    <w:t>转移量</w:t>
                  </w:r>
                  <w:r>
                    <w:rPr>
                      <w:rFonts w:hint="eastAsia"/>
                      <w:b/>
                    </w:rPr>
                    <w:t>（t）</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pStyle w:val="47"/>
                    <w:rPr>
                      <w:b/>
                    </w:rPr>
                  </w:pPr>
                  <w:r>
                    <w:rPr>
                      <w:b/>
                    </w:rPr>
                    <w:t>暂存量</w:t>
                  </w:r>
                  <w:r>
                    <w:rPr>
                      <w:rFonts w:hint="eastAsia"/>
                      <w:b/>
                    </w:rPr>
                    <w:t>（t）</w:t>
                  </w:r>
                </w:p>
              </w:tc>
              <w:tc>
                <w:tcPr>
                  <w:tcW w:w="1428" w:type="dxa"/>
                  <w:vMerge w:val="continue"/>
                  <w:tcBorders>
                    <w:top w:val="single" w:color="auto" w:sz="4" w:space="0"/>
                    <w:left w:val="single" w:color="auto" w:sz="4" w:space="0"/>
                    <w:bottom w:val="single" w:color="auto" w:sz="4" w:space="0"/>
                    <w:right w:val="nil"/>
                    <w:tl2br w:val="nil"/>
                    <w:tr2bl w:val="nil"/>
                  </w:tcBorders>
                  <w:vAlign w:val="center"/>
                </w:tcPr>
                <w:p>
                  <w:pPr>
                    <w:pStyle w:val="47"/>
                    <w:rPr>
                      <w: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1</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生活</w:t>
                  </w:r>
                  <w:r>
                    <w:t>垃圾</w:t>
                  </w:r>
                </w:p>
              </w:tc>
              <w:tc>
                <w:tcPr>
                  <w:tcW w:w="961" w:type="dxa"/>
                  <w:vMerge w:val="restart"/>
                  <w:tcBorders>
                    <w:top w:val="single" w:color="auto" w:sz="4" w:space="0"/>
                    <w:left w:val="single" w:color="auto" w:sz="4" w:space="0"/>
                    <w:right w:val="single" w:color="auto" w:sz="4" w:space="0"/>
                    <w:tl2br w:val="nil"/>
                    <w:tr2bl w:val="nil"/>
                  </w:tcBorders>
                  <w:vAlign w:val="center"/>
                </w:tcPr>
                <w:p>
                  <w:pPr>
                    <w:jc w:val="center"/>
                  </w:pPr>
                  <w:r>
                    <w:t>一般废物</w:t>
                  </w:r>
                </w:p>
              </w:tc>
              <w:tc>
                <w:tcPr>
                  <w:tcW w:w="656" w:type="dxa"/>
                  <w:tcBorders>
                    <w:top w:val="single" w:color="auto" w:sz="4" w:space="0"/>
                    <w:left w:val="single" w:color="auto" w:sz="4" w:space="0"/>
                    <w:bottom w:val="single" w:color="auto" w:sz="4" w:space="0"/>
                    <w:right w:val="single" w:color="auto" w:sz="4" w:space="0"/>
                    <w:tl2br w:val="nil"/>
                    <w:tr2bl w:val="nil"/>
                  </w:tcBorders>
                  <w:vAlign w:val="center"/>
                </w:tcPr>
                <w:p>
                  <w:pPr>
                    <w:pStyle w:val="2"/>
                    <w:spacing w:line="240" w:lineRule="auto"/>
                    <w:ind w:firstLine="0" w:firstLineChars="0"/>
                    <w:jc w:val="center"/>
                    <w:rPr>
                      <w:rFonts w:ascii="Times New Roman" w:eastAsia="宋体"/>
                      <w:sz w:val="21"/>
                    </w:rPr>
                  </w:pPr>
                  <w:r>
                    <w:rPr>
                      <w:rFonts w:ascii="Times New Roman" w:eastAsia="宋体"/>
                      <w:sz w:val="21"/>
                    </w:rPr>
                    <w:t>员工</w:t>
                  </w:r>
                </w:p>
                <w:p>
                  <w:pPr>
                    <w:pStyle w:val="2"/>
                    <w:spacing w:line="240" w:lineRule="auto"/>
                    <w:ind w:firstLine="0" w:firstLineChars="0"/>
                    <w:jc w:val="center"/>
                    <w:rPr>
                      <w:rFonts w:ascii="Times New Roman" w:eastAsia="宋体"/>
                      <w:sz w:val="21"/>
                    </w:rPr>
                  </w:pPr>
                  <w:r>
                    <w:rPr>
                      <w:rFonts w:ascii="Times New Roman" w:eastAsia="宋体"/>
                      <w:sz w:val="21"/>
                    </w:rPr>
                    <w:t>生活</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t>/</w:t>
                  </w:r>
                </w:p>
              </w:tc>
              <w:tc>
                <w:tcPr>
                  <w:tcW w:w="979" w:type="dxa"/>
                  <w:tcBorders>
                    <w:top w:val="single" w:color="auto" w:sz="4" w:space="0"/>
                    <w:left w:val="single" w:color="auto" w:sz="4" w:space="0"/>
                    <w:right w:val="single" w:color="auto" w:sz="4" w:space="0"/>
                    <w:tl2br w:val="nil"/>
                    <w:tr2bl w:val="nil"/>
                  </w:tcBorders>
                  <w:vAlign w:val="center"/>
                </w:tcPr>
                <w:p>
                  <w:pPr>
                    <w:pStyle w:val="47"/>
                  </w:pPr>
                  <w:r>
                    <w:rPr>
                      <w:rFonts w:hint="eastAsia"/>
                    </w:rPr>
                    <w:t>2</w:t>
                  </w:r>
                </w:p>
              </w:tc>
              <w:tc>
                <w:tcPr>
                  <w:tcW w:w="1106" w:type="dxa"/>
                  <w:tcBorders>
                    <w:top w:val="single" w:color="auto" w:sz="4" w:space="0"/>
                    <w:left w:val="single" w:color="auto" w:sz="4" w:space="0"/>
                    <w:right w:val="single" w:color="auto" w:sz="4" w:space="0"/>
                    <w:tl2br w:val="nil"/>
                    <w:tr2bl w:val="nil"/>
                  </w:tcBorders>
                  <w:vAlign w:val="center"/>
                </w:tcPr>
                <w:p>
                  <w:pPr>
                    <w:pStyle w:val="47"/>
                  </w:pPr>
                  <w:r>
                    <w:rPr>
                      <w:rFonts w:hint="eastAsia"/>
                    </w:rPr>
                    <w:t>2</w:t>
                  </w:r>
                </w:p>
              </w:tc>
              <w:tc>
                <w:tcPr>
                  <w:tcW w:w="992" w:type="dxa"/>
                  <w:tcBorders>
                    <w:top w:val="single" w:color="auto" w:sz="4" w:space="0"/>
                    <w:left w:val="single" w:color="auto" w:sz="4" w:space="0"/>
                    <w:right w:val="single" w:color="auto" w:sz="4" w:space="0"/>
                    <w:tl2br w:val="nil"/>
                    <w:tr2bl w:val="nil"/>
                  </w:tcBorders>
                  <w:vAlign w:val="center"/>
                </w:tcPr>
                <w:p>
                  <w:pPr>
                    <w:pStyle w:val="47"/>
                  </w:pPr>
                  <w:r>
                    <w:rPr>
                      <w:rFonts w:hint="eastAsia"/>
                    </w:rPr>
                    <w:t>0</w:t>
                  </w:r>
                </w:p>
              </w:tc>
              <w:tc>
                <w:tcPr>
                  <w:tcW w:w="1428" w:type="dxa"/>
                  <w:vMerge w:val="restart"/>
                  <w:tcBorders>
                    <w:top w:val="single" w:color="auto" w:sz="4" w:space="0"/>
                    <w:left w:val="single" w:color="auto" w:sz="4" w:space="0"/>
                    <w:right w:val="nil"/>
                    <w:tl2br w:val="nil"/>
                    <w:tr2bl w:val="nil"/>
                  </w:tcBorders>
                  <w:vAlign w:val="center"/>
                </w:tcPr>
                <w:p>
                  <w:pPr>
                    <w:pStyle w:val="47"/>
                  </w:pPr>
                  <w:r>
                    <w:t>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2</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滤渣</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切割</w:t>
                  </w:r>
                  <w:r>
                    <w:rPr>
                      <w:rFonts w:hint="eastAsia"/>
                    </w:rPr>
                    <w:t>、</w:t>
                  </w:r>
                  <w:r>
                    <w:t>研磨</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t>/</w:t>
                  </w:r>
                </w:p>
              </w:tc>
              <w:tc>
                <w:tcPr>
                  <w:tcW w:w="979" w:type="dxa"/>
                  <w:tcBorders>
                    <w:left w:val="single" w:color="auto" w:sz="4" w:space="0"/>
                    <w:right w:val="single" w:color="auto" w:sz="4" w:space="0"/>
                    <w:tl2br w:val="nil"/>
                    <w:tr2bl w:val="nil"/>
                  </w:tcBorders>
                  <w:vAlign w:val="center"/>
                </w:tcPr>
                <w:p>
                  <w:pPr>
                    <w:pStyle w:val="47"/>
                  </w:pPr>
                  <w:r>
                    <w:rPr>
                      <w:rFonts w:hint="eastAsia"/>
                    </w:rPr>
                    <w:t>0.1</w:t>
                  </w:r>
                </w:p>
              </w:tc>
              <w:tc>
                <w:tcPr>
                  <w:tcW w:w="1106" w:type="dxa"/>
                  <w:tcBorders>
                    <w:left w:val="single" w:color="auto" w:sz="4" w:space="0"/>
                    <w:right w:val="single" w:color="auto" w:sz="4" w:space="0"/>
                    <w:tl2br w:val="nil"/>
                    <w:tr2bl w:val="nil"/>
                  </w:tcBorders>
                  <w:vAlign w:val="center"/>
                </w:tcPr>
                <w:p>
                  <w:pPr>
                    <w:pStyle w:val="47"/>
                  </w:pPr>
                  <w:r>
                    <w:rPr>
                      <w:rFonts w:hint="eastAsia"/>
                    </w:rPr>
                    <w:t>0.1</w:t>
                  </w:r>
                </w:p>
              </w:tc>
              <w:tc>
                <w:tcPr>
                  <w:tcW w:w="992" w:type="dxa"/>
                  <w:tcBorders>
                    <w:left w:val="single" w:color="auto" w:sz="4" w:space="0"/>
                    <w:right w:val="single" w:color="auto" w:sz="4" w:space="0"/>
                    <w:tl2br w:val="nil"/>
                    <w:tr2bl w:val="nil"/>
                  </w:tcBorders>
                  <w:vAlign w:val="center"/>
                </w:tcPr>
                <w:p>
                  <w:pPr>
                    <w:pStyle w:val="47"/>
                  </w:pPr>
                  <w:r>
                    <w:rPr>
                      <w:rFonts w:hint="eastAsia"/>
                    </w:rPr>
                    <w:t>0</w:t>
                  </w:r>
                </w:p>
              </w:tc>
              <w:tc>
                <w:tcPr>
                  <w:tcW w:w="1428" w:type="dxa"/>
                  <w:vMerge w:val="continue"/>
                  <w:tcBorders>
                    <w:left w:val="single" w:color="auto" w:sz="4" w:space="0"/>
                    <w:right w:val="nil"/>
                    <w:tl2br w:val="nil"/>
                    <w:tr2bl w:val="nil"/>
                  </w:tcBorders>
                  <w:vAlign w:val="center"/>
                </w:tcPr>
                <w:p>
                  <w:pPr>
                    <w:pStyle w:val="47"/>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3</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废砂纸</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研磨</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t>/</w:t>
                  </w:r>
                </w:p>
              </w:tc>
              <w:tc>
                <w:tcPr>
                  <w:tcW w:w="979" w:type="dxa"/>
                  <w:tcBorders>
                    <w:left w:val="single" w:color="auto" w:sz="4" w:space="0"/>
                    <w:right w:val="single" w:color="auto" w:sz="4" w:space="0"/>
                    <w:tl2br w:val="nil"/>
                    <w:tr2bl w:val="nil"/>
                  </w:tcBorders>
                  <w:vAlign w:val="center"/>
                </w:tcPr>
                <w:p>
                  <w:pPr>
                    <w:jc w:val="center"/>
                  </w:pPr>
                  <w:r>
                    <w:rPr>
                      <w:rFonts w:hint="eastAsia"/>
                    </w:rPr>
                    <w:t>0.00007</w:t>
                  </w:r>
                </w:p>
              </w:tc>
              <w:tc>
                <w:tcPr>
                  <w:tcW w:w="1106" w:type="dxa"/>
                  <w:tcBorders>
                    <w:left w:val="single" w:color="auto" w:sz="4" w:space="0"/>
                    <w:right w:val="single" w:color="auto" w:sz="4" w:space="0"/>
                    <w:tl2br w:val="nil"/>
                    <w:tr2bl w:val="nil"/>
                  </w:tcBorders>
                  <w:vAlign w:val="center"/>
                </w:tcPr>
                <w:p>
                  <w:pPr>
                    <w:jc w:val="center"/>
                  </w:pPr>
                  <w:r>
                    <w:rPr>
                      <w:rFonts w:hint="eastAsia"/>
                    </w:rPr>
                    <w:t>0.00007</w:t>
                  </w:r>
                </w:p>
              </w:tc>
              <w:tc>
                <w:tcPr>
                  <w:tcW w:w="992" w:type="dxa"/>
                  <w:tcBorders>
                    <w:left w:val="single" w:color="auto" w:sz="4" w:space="0"/>
                    <w:right w:val="single" w:color="auto" w:sz="4" w:space="0"/>
                    <w:tl2br w:val="nil"/>
                    <w:tr2bl w:val="nil"/>
                  </w:tcBorders>
                  <w:vAlign w:val="center"/>
                </w:tcPr>
                <w:p>
                  <w:pPr>
                    <w:jc w:val="center"/>
                  </w:pPr>
                  <w:r>
                    <w:rPr>
                      <w:rFonts w:hint="eastAsia"/>
                    </w:rPr>
                    <w:t>0</w:t>
                  </w:r>
                </w:p>
              </w:tc>
              <w:tc>
                <w:tcPr>
                  <w:tcW w:w="1428" w:type="dxa"/>
                  <w:vMerge w:val="continue"/>
                  <w:tcBorders>
                    <w:left w:val="single" w:color="auto" w:sz="4" w:space="0"/>
                    <w:right w:val="nil"/>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4</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废品</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金相</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t>/</w:t>
                  </w:r>
                </w:p>
              </w:tc>
              <w:tc>
                <w:tcPr>
                  <w:tcW w:w="979" w:type="dxa"/>
                  <w:tcBorders>
                    <w:left w:val="single" w:color="auto" w:sz="4" w:space="0"/>
                    <w:bottom w:val="single" w:color="auto" w:sz="4" w:space="0"/>
                    <w:right w:val="single" w:color="auto" w:sz="4" w:space="0"/>
                    <w:tl2br w:val="nil"/>
                    <w:tr2bl w:val="nil"/>
                  </w:tcBorders>
                  <w:vAlign w:val="center"/>
                </w:tcPr>
                <w:p>
                  <w:pPr>
                    <w:jc w:val="center"/>
                  </w:pPr>
                  <w:r>
                    <w:rPr>
                      <w:rFonts w:hint="eastAsia"/>
                    </w:rPr>
                    <w:t>0.2</w:t>
                  </w:r>
                </w:p>
              </w:tc>
              <w:tc>
                <w:tcPr>
                  <w:tcW w:w="1106" w:type="dxa"/>
                  <w:tcBorders>
                    <w:left w:val="single" w:color="auto" w:sz="4" w:space="0"/>
                    <w:bottom w:val="single" w:color="auto" w:sz="4" w:space="0"/>
                    <w:right w:val="single" w:color="auto" w:sz="4" w:space="0"/>
                    <w:tl2br w:val="nil"/>
                    <w:tr2bl w:val="nil"/>
                  </w:tcBorders>
                  <w:vAlign w:val="center"/>
                </w:tcPr>
                <w:p>
                  <w:pPr>
                    <w:jc w:val="center"/>
                  </w:pPr>
                  <w:r>
                    <w:rPr>
                      <w:rFonts w:hint="eastAsia"/>
                    </w:rPr>
                    <w:t>0.2</w:t>
                  </w:r>
                </w:p>
              </w:tc>
              <w:tc>
                <w:tcPr>
                  <w:tcW w:w="992" w:type="dxa"/>
                  <w:tcBorders>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1428" w:type="dxa"/>
                  <w:tcBorders>
                    <w:left w:val="single" w:color="auto" w:sz="4" w:space="0"/>
                    <w:bottom w:val="single" w:color="auto" w:sz="4" w:space="0"/>
                    <w:right w:val="nil"/>
                    <w:tl2br w:val="nil"/>
                    <w:tr2bl w:val="nil"/>
                  </w:tcBorders>
                  <w:vAlign w:val="center"/>
                </w:tcPr>
                <w:p>
                  <w:pPr>
                    <w:jc w:val="center"/>
                  </w:pPr>
                  <w:r>
                    <w:t>部分外售综合利用</w:t>
                  </w:r>
                  <w:r>
                    <w:rPr>
                      <w:rFonts w:hint="eastAsia"/>
                    </w:rPr>
                    <w:t>，</w:t>
                  </w:r>
                  <w:r>
                    <w:t>部分交给客户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5</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边角料</w:t>
                  </w:r>
                </w:p>
              </w:tc>
              <w:tc>
                <w:tcPr>
                  <w:tcW w:w="961" w:type="dxa"/>
                  <w:vMerge w:val="continue"/>
                  <w:tcBorders>
                    <w:left w:val="single" w:color="auto" w:sz="4" w:space="0"/>
                    <w:bottom w:val="single" w:color="auto" w:sz="4" w:space="0"/>
                    <w:right w:val="single" w:color="auto" w:sz="4" w:space="0"/>
                    <w:tl2br w:val="nil"/>
                    <w:tr2bl w:val="nil"/>
                  </w:tcBorders>
                  <w:vAlign w:val="center"/>
                </w:tcPr>
                <w:p>
                  <w:pPr>
                    <w:jc w:val="center"/>
                  </w:pPr>
                </w:p>
              </w:tc>
              <w:tc>
                <w:tcPr>
                  <w:tcW w:w="65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切割</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rPr>
                      <w:rFonts w:hint="eastAsia"/>
                    </w:rPr>
                    <w:t>/</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pStyle w:val="47"/>
                  </w:pPr>
                  <w:r>
                    <w:rPr>
                      <w:rFonts w:hint="eastAsia"/>
                    </w:rPr>
                    <w:t>0.22</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pStyle w:val="47"/>
                  </w:pPr>
                  <w:r>
                    <w:rPr>
                      <w:rFonts w:hint="eastAsia"/>
                    </w:rPr>
                    <w:t>0.22</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pStyle w:val="47"/>
                  </w:pPr>
                  <w:r>
                    <w:rPr>
                      <w:rFonts w:hint="eastAsia"/>
                    </w:rPr>
                    <w:t>0</w:t>
                  </w:r>
                </w:p>
              </w:tc>
              <w:tc>
                <w:tcPr>
                  <w:tcW w:w="1428" w:type="dxa"/>
                  <w:tcBorders>
                    <w:top w:val="single" w:color="auto" w:sz="4" w:space="0"/>
                    <w:left w:val="single" w:color="auto" w:sz="4" w:space="0"/>
                    <w:bottom w:val="single" w:color="auto" w:sz="4" w:space="0"/>
                    <w:right w:val="nil"/>
                    <w:tl2br w:val="nil"/>
                    <w:tr2bl w:val="nil"/>
                  </w:tcBorders>
                  <w:vAlign w:val="center"/>
                </w:tcPr>
                <w:p>
                  <w:pPr>
                    <w:pStyle w:val="47"/>
                  </w:pPr>
                  <w: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6</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废热媒体油</w:t>
                  </w:r>
                </w:p>
              </w:tc>
              <w:tc>
                <w:tcPr>
                  <w:tcW w:w="961" w:type="dxa"/>
                  <w:vMerge w:val="restart"/>
                  <w:tcBorders>
                    <w:top w:val="single" w:color="auto" w:sz="4" w:space="0"/>
                    <w:left w:val="single" w:color="auto" w:sz="4" w:space="0"/>
                    <w:right w:val="single" w:color="auto" w:sz="4" w:space="0"/>
                    <w:tl2br w:val="nil"/>
                    <w:tr2bl w:val="nil"/>
                  </w:tcBorders>
                  <w:vAlign w:val="center"/>
                </w:tcPr>
                <w:p>
                  <w:pPr>
                    <w:jc w:val="center"/>
                  </w:pPr>
                  <w:r>
                    <w:t>危险废物</w:t>
                  </w:r>
                </w:p>
              </w:tc>
              <w:tc>
                <w:tcPr>
                  <w:tcW w:w="656" w:type="dxa"/>
                  <w:vMerge w:val="restart"/>
                  <w:tcBorders>
                    <w:top w:val="single" w:color="auto" w:sz="4" w:space="0"/>
                    <w:left w:val="single" w:color="auto" w:sz="4" w:space="0"/>
                    <w:right w:val="single" w:color="auto" w:sz="4" w:space="0"/>
                    <w:tl2br w:val="nil"/>
                    <w:tr2bl w:val="nil"/>
                  </w:tcBorders>
                  <w:vAlign w:val="center"/>
                </w:tcPr>
                <w:p>
                  <w:pPr>
                    <w:jc w:val="center"/>
                  </w:pPr>
                  <w:r>
                    <w:t>脱脂</w:t>
                  </w:r>
                </w:p>
                <w:p>
                  <w:pPr>
                    <w:jc w:val="center"/>
                  </w:pPr>
                  <w:r>
                    <w:t>清洗</w:t>
                  </w: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rPr>
                      <w:szCs w:val="21"/>
                    </w:rPr>
                    <w:t>HW08 900-249-08</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0.15</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0.15</w:t>
                  </w:r>
                </w:p>
              </w:tc>
              <w:tc>
                <w:tcPr>
                  <w:tcW w:w="1428" w:type="dxa"/>
                  <w:tcBorders>
                    <w:top w:val="single" w:color="auto" w:sz="4" w:space="0"/>
                    <w:left w:val="single" w:color="auto" w:sz="4" w:space="0"/>
                    <w:bottom w:val="single" w:color="auto" w:sz="4" w:space="0"/>
                    <w:right w:val="nil"/>
                    <w:tl2br w:val="nil"/>
                    <w:tr2bl w:val="nil"/>
                  </w:tcBorders>
                  <w:vAlign w:val="center"/>
                </w:tcPr>
                <w:p>
                  <w:pPr>
                    <w:jc w:val="center"/>
                    <w:rPr>
                      <w:szCs w:val="21"/>
                    </w:rPr>
                  </w:pPr>
                  <w:r>
                    <w:rPr>
                      <w:rFonts w:hint="eastAsia" w:hAnsi="宋体"/>
                      <w:szCs w:val="21"/>
                    </w:rPr>
                    <w:t>委托常州市锦云工业废弃物处理有限公司处置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7</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过滤残渣</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vMerge w:val="continue"/>
                  <w:tcBorders>
                    <w:left w:val="single" w:color="auto" w:sz="4" w:space="0"/>
                    <w:right w:val="single" w:color="auto" w:sz="4" w:space="0"/>
                    <w:tl2br w:val="nil"/>
                    <w:tr2bl w:val="nil"/>
                  </w:tcBorders>
                  <w:vAlign w:val="center"/>
                </w:tcPr>
                <w:p>
                  <w:pPr>
                    <w:jc w:val="center"/>
                  </w:pP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rPr>
                      <w:szCs w:val="21"/>
                    </w:rPr>
                    <w:t>HW06 261-006-06</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0.45</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0.45</w:t>
                  </w:r>
                </w:p>
              </w:tc>
              <w:tc>
                <w:tcPr>
                  <w:tcW w:w="1428" w:type="dxa"/>
                  <w:vMerge w:val="restart"/>
                  <w:tcBorders>
                    <w:top w:val="single" w:color="auto" w:sz="4" w:space="0"/>
                    <w:left w:val="single" w:color="auto" w:sz="4" w:space="0"/>
                    <w:right w:val="nil"/>
                    <w:tl2br w:val="nil"/>
                    <w:tr2bl w:val="nil"/>
                  </w:tcBorders>
                  <w:vAlign w:val="center"/>
                </w:tcPr>
                <w:p>
                  <w:pPr>
                    <w:jc w:val="center"/>
                    <w:rPr>
                      <w:szCs w:val="21"/>
                    </w:rPr>
                  </w:pPr>
                  <w:r>
                    <w:rPr>
                      <w:rFonts w:hint="eastAsia" w:hAnsi="宋体"/>
                      <w:szCs w:val="21"/>
                    </w:rPr>
                    <w:t>企业承诺</w:t>
                  </w:r>
                  <w:r>
                    <w:rPr>
                      <w:szCs w:val="21"/>
                    </w:rPr>
                    <w:t>及时签订危险废物处置协议，在找到合适的固废处置单位前于厂区内规范贮存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t>8</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废活性炭</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vMerge w:val="continue"/>
                  <w:tcBorders>
                    <w:left w:val="single" w:color="auto" w:sz="4" w:space="0"/>
                    <w:right w:val="single" w:color="auto" w:sz="4" w:space="0"/>
                    <w:tl2br w:val="nil"/>
                    <w:tr2bl w:val="nil"/>
                  </w:tcBorders>
                  <w:vAlign w:val="center"/>
                </w:tcPr>
                <w:p>
                  <w:pPr>
                    <w:jc w:val="center"/>
                  </w:pP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rPr>
                      <w:szCs w:val="21"/>
                    </w:rPr>
                    <w:t>HW06 261-005-06</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1428" w:type="dxa"/>
                  <w:vMerge w:val="continue"/>
                  <w:tcBorders>
                    <w:left w:val="single" w:color="auto" w:sz="4" w:space="0"/>
                    <w:right w:val="nil"/>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4" w:space="0"/>
                    <w:right w:val="single" w:color="auto" w:sz="4" w:space="0"/>
                    <w:tl2br w:val="nil"/>
                    <w:tr2bl w:val="nil"/>
                  </w:tcBorders>
                  <w:vAlign w:val="center"/>
                </w:tcPr>
                <w:p>
                  <w:pPr>
                    <w:pStyle w:val="47"/>
                  </w:pPr>
                  <w:r>
                    <w:rPr>
                      <w:rFonts w:hint="eastAsia"/>
                    </w:rPr>
                    <w:t>9</w:t>
                  </w:r>
                </w:p>
              </w:tc>
              <w:tc>
                <w:tcPr>
                  <w:tcW w:w="1081"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t>蒸馏残渣</w:t>
                  </w:r>
                </w:p>
              </w:tc>
              <w:tc>
                <w:tcPr>
                  <w:tcW w:w="961" w:type="dxa"/>
                  <w:vMerge w:val="continue"/>
                  <w:tcBorders>
                    <w:left w:val="single" w:color="auto" w:sz="4" w:space="0"/>
                    <w:right w:val="single" w:color="auto" w:sz="4" w:space="0"/>
                    <w:tl2br w:val="nil"/>
                    <w:tr2bl w:val="nil"/>
                  </w:tcBorders>
                  <w:vAlign w:val="center"/>
                </w:tcPr>
                <w:p>
                  <w:pPr>
                    <w:jc w:val="center"/>
                  </w:pPr>
                </w:p>
              </w:tc>
              <w:tc>
                <w:tcPr>
                  <w:tcW w:w="656" w:type="dxa"/>
                  <w:vMerge w:val="continue"/>
                  <w:tcBorders>
                    <w:left w:val="single" w:color="auto" w:sz="4" w:space="0"/>
                    <w:bottom w:val="single" w:color="auto" w:sz="4" w:space="0"/>
                    <w:right w:val="single" w:color="auto" w:sz="4" w:space="0"/>
                    <w:tl2br w:val="nil"/>
                    <w:tr2bl w:val="nil"/>
                  </w:tcBorders>
                  <w:vAlign w:val="center"/>
                </w:tcPr>
                <w:p>
                  <w:pPr>
                    <w:jc w:val="center"/>
                  </w:pPr>
                </w:p>
              </w:tc>
              <w:tc>
                <w:tcPr>
                  <w:tcW w:w="1459" w:type="dxa"/>
                  <w:tcBorders>
                    <w:top w:val="single" w:color="auto" w:sz="4" w:space="0"/>
                    <w:left w:val="single" w:color="auto" w:sz="4" w:space="0"/>
                    <w:bottom w:val="single" w:color="auto" w:sz="4" w:space="0"/>
                    <w:right w:val="single" w:color="auto" w:sz="4" w:space="0"/>
                    <w:tl2br w:val="nil"/>
                    <w:tr2bl w:val="nil"/>
                  </w:tcBorders>
                  <w:vAlign w:val="center"/>
                </w:tcPr>
                <w:p>
                  <w:pPr>
                    <w:pStyle w:val="12"/>
                    <w:ind w:left="0" w:firstLine="0" w:firstLineChars="0"/>
                    <w:jc w:val="center"/>
                  </w:pPr>
                  <w:r>
                    <w:rPr>
                      <w:szCs w:val="21"/>
                    </w:rPr>
                    <w:t>HW11 900-013-11</w:t>
                  </w:r>
                </w:p>
              </w:tc>
              <w:tc>
                <w:tcPr>
                  <w:tcW w:w="979"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0.12</w:t>
                  </w:r>
                </w:p>
              </w:tc>
              <w:tc>
                <w:tcPr>
                  <w:tcW w:w="1106"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w:t>
                  </w:r>
                </w:p>
              </w:tc>
              <w:tc>
                <w:tcPr>
                  <w:tcW w:w="992" w:type="dxa"/>
                  <w:tcBorders>
                    <w:top w:val="single" w:color="auto" w:sz="4" w:space="0"/>
                    <w:left w:val="single" w:color="auto" w:sz="4" w:space="0"/>
                    <w:bottom w:val="single" w:color="auto" w:sz="4" w:space="0"/>
                    <w:right w:val="single" w:color="auto" w:sz="4" w:space="0"/>
                    <w:tl2br w:val="nil"/>
                    <w:tr2bl w:val="nil"/>
                  </w:tcBorders>
                  <w:vAlign w:val="center"/>
                </w:tcPr>
                <w:p>
                  <w:pPr>
                    <w:jc w:val="center"/>
                  </w:pPr>
                  <w:r>
                    <w:rPr>
                      <w:rFonts w:hint="eastAsia"/>
                    </w:rPr>
                    <w:t>0.12</w:t>
                  </w:r>
                </w:p>
              </w:tc>
              <w:tc>
                <w:tcPr>
                  <w:tcW w:w="1428" w:type="dxa"/>
                  <w:vMerge w:val="continue"/>
                  <w:tcBorders>
                    <w:left w:val="single" w:color="auto" w:sz="4" w:space="0"/>
                    <w:bottom w:val="single" w:color="auto" w:sz="4" w:space="0"/>
                    <w:right w:val="nil"/>
                    <w:tl2br w:val="nil"/>
                    <w:tr2bl w:val="nil"/>
                  </w:tcBorders>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421" w:type="dxa"/>
                  <w:tcBorders>
                    <w:top w:val="single" w:color="auto" w:sz="4" w:space="0"/>
                    <w:left w:val="nil"/>
                    <w:bottom w:val="single" w:color="auto" w:sz="12" w:space="0"/>
                    <w:right w:val="single" w:color="auto" w:sz="4" w:space="0"/>
                    <w:tl2br w:val="nil"/>
                    <w:tr2bl w:val="nil"/>
                  </w:tcBorders>
                  <w:vAlign w:val="center"/>
                </w:tcPr>
                <w:p>
                  <w:pPr>
                    <w:pStyle w:val="47"/>
                  </w:pPr>
                  <w:r>
                    <w:rPr>
                      <w:rFonts w:hint="eastAsia"/>
                    </w:rPr>
                    <w:t>10</w:t>
                  </w:r>
                </w:p>
              </w:tc>
              <w:tc>
                <w:tcPr>
                  <w:tcW w:w="1081" w:type="dxa"/>
                  <w:tcBorders>
                    <w:top w:val="single" w:color="auto" w:sz="4" w:space="0"/>
                    <w:left w:val="single" w:color="auto" w:sz="4" w:space="0"/>
                    <w:bottom w:val="single" w:color="auto" w:sz="12" w:space="0"/>
                    <w:right w:val="single" w:color="auto" w:sz="4" w:space="0"/>
                    <w:tl2br w:val="nil"/>
                    <w:tr2bl w:val="nil"/>
                  </w:tcBorders>
                  <w:vAlign w:val="center"/>
                </w:tcPr>
                <w:p>
                  <w:pPr>
                    <w:jc w:val="center"/>
                  </w:pPr>
                  <w:r>
                    <w:t>废真空泵油</w:t>
                  </w:r>
                </w:p>
              </w:tc>
              <w:tc>
                <w:tcPr>
                  <w:tcW w:w="961" w:type="dxa"/>
                  <w:vMerge w:val="continue"/>
                  <w:tcBorders>
                    <w:left w:val="single" w:color="auto" w:sz="4" w:space="0"/>
                    <w:bottom w:val="single" w:color="auto" w:sz="12" w:space="0"/>
                    <w:right w:val="single" w:color="auto" w:sz="4" w:space="0"/>
                    <w:tl2br w:val="nil"/>
                    <w:tr2bl w:val="nil"/>
                  </w:tcBorders>
                  <w:vAlign w:val="center"/>
                </w:tcPr>
                <w:p>
                  <w:pPr>
                    <w:jc w:val="center"/>
                  </w:pPr>
                </w:p>
              </w:tc>
              <w:tc>
                <w:tcPr>
                  <w:tcW w:w="656" w:type="dxa"/>
                  <w:tcBorders>
                    <w:top w:val="single" w:color="auto" w:sz="4" w:space="0"/>
                    <w:left w:val="single" w:color="auto" w:sz="4" w:space="0"/>
                    <w:bottom w:val="single" w:color="auto" w:sz="12" w:space="0"/>
                    <w:right w:val="single" w:color="auto" w:sz="4" w:space="0"/>
                    <w:tl2br w:val="nil"/>
                    <w:tr2bl w:val="nil"/>
                  </w:tcBorders>
                  <w:vAlign w:val="center"/>
                </w:tcPr>
                <w:p>
                  <w:pPr>
                    <w:jc w:val="center"/>
                  </w:pPr>
                  <w:r>
                    <w:t>消磁</w:t>
                  </w:r>
                </w:p>
                <w:p>
                  <w:pPr>
                    <w:jc w:val="center"/>
                  </w:pPr>
                  <w:r>
                    <w:t>退火</w:t>
                  </w:r>
                </w:p>
              </w:tc>
              <w:tc>
                <w:tcPr>
                  <w:tcW w:w="1459" w:type="dxa"/>
                  <w:tcBorders>
                    <w:top w:val="single" w:color="auto" w:sz="4" w:space="0"/>
                    <w:left w:val="single" w:color="auto" w:sz="4" w:space="0"/>
                    <w:bottom w:val="single" w:color="auto" w:sz="12" w:space="0"/>
                    <w:right w:val="single" w:color="auto" w:sz="4" w:space="0"/>
                    <w:tl2br w:val="nil"/>
                    <w:tr2bl w:val="nil"/>
                  </w:tcBorders>
                  <w:vAlign w:val="center"/>
                </w:tcPr>
                <w:p>
                  <w:pPr>
                    <w:pStyle w:val="12"/>
                    <w:ind w:left="0" w:firstLine="0" w:firstLineChars="0"/>
                    <w:jc w:val="center"/>
                  </w:pPr>
                  <w:r>
                    <w:rPr>
                      <w:szCs w:val="21"/>
                    </w:rPr>
                    <w:t>HW08 900-249-08</w:t>
                  </w:r>
                </w:p>
              </w:tc>
              <w:tc>
                <w:tcPr>
                  <w:tcW w:w="979" w:type="dxa"/>
                  <w:tcBorders>
                    <w:top w:val="single" w:color="auto" w:sz="4" w:space="0"/>
                    <w:left w:val="single" w:color="auto" w:sz="4" w:space="0"/>
                    <w:bottom w:val="single" w:color="auto" w:sz="12" w:space="0"/>
                    <w:right w:val="single" w:color="auto" w:sz="4" w:space="0"/>
                    <w:tl2br w:val="nil"/>
                    <w:tr2bl w:val="nil"/>
                  </w:tcBorders>
                  <w:vAlign w:val="center"/>
                </w:tcPr>
                <w:p>
                  <w:pPr>
                    <w:jc w:val="center"/>
                  </w:pPr>
                  <w:r>
                    <w:rPr>
                      <w:rFonts w:hint="eastAsia"/>
                    </w:rPr>
                    <w:t>0.3</w:t>
                  </w:r>
                </w:p>
              </w:tc>
              <w:tc>
                <w:tcPr>
                  <w:tcW w:w="1106" w:type="dxa"/>
                  <w:tcBorders>
                    <w:top w:val="single" w:color="auto" w:sz="4" w:space="0"/>
                    <w:left w:val="single" w:color="auto" w:sz="4" w:space="0"/>
                    <w:bottom w:val="single" w:color="auto" w:sz="12" w:space="0"/>
                    <w:right w:val="single" w:color="auto" w:sz="4" w:space="0"/>
                    <w:tl2br w:val="nil"/>
                    <w:tr2bl w:val="nil"/>
                  </w:tcBorders>
                  <w:vAlign w:val="center"/>
                </w:tcPr>
                <w:p>
                  <w:pPr>
                    <w:jc w:val="center"/>
                  </w:pPr>
                  <w:r>
                    <w:rPr>
                      <w:rFonts w:hint="eastAsia"/>
                    </w:rPr>
                    <w:t>0</w:t>
                  </w:r>
                </w:p>
              </w:tc>
              <w:tc>
                <w:tcPr>
                  <w:tcW w:w="992" w:type="dxa"/>
                  <w:tcBorders>
                    <w:top w:val="single" w:color="auto" w:sz="4" w:space="0"/>
                    <w:left w:val="single" w:color="auto" w:sz="4" w:space="0"/>
                    <w:bottom w:val="single" w:color="auto" w:sz="12" w:space="0"/>
                    <w:right w:val="single" w:color="auto" w:sz="4" w:space="0"/>
                    <w:tl2br w:val="nil"/>
                    <w:tr2bl w:val="nil"/>
                  </w:tcBorders>
                  <w:vAlign w:val="center"/>
                </w:tcPr>
                <w:p>
                  <w:pPr>
                    <w:jc w:val="center"/>
                  </w:pPr>
                  <w:r>
                    <w:rPr>
                      <w:rFonts w:hint="eastAsia"/>
                    </w:rPr>
                    <w:t>0.3</w:t>
                  </w:r>
                </w:p>
              </w:tc>
              <w:tc>
                <w:tcPr>
                  <w:tcW w:w="1428" w:type="dxa"/>
                  <w:tcBorders>
                    <w:top w:val="single" w:color="auto" w:sz="4" w:space="0"/>
                    <w:left w:val="single" w:color="auto" w:sz="4" w:space="0"/>
                    <w:bottom w:val="single" w:color="auto" w:sz="12" w:space="0"/>
                    <w:right w:val="nil"/>
                    <w:tl2br w:val="nil"/>
                    <w:tr2bl w:val="nil"/>
                  </w:tcBorders>
                  <w:vAlign w:val="center"/>
                </w:tcPr>
                <w:p>
                  <w:pPr>
                    <w:jc w:val="center"/>
                  </w:pPr>
                  <w:r>
                    <w:rPr>
                      <w:rFonts w:hint="eastAsia"/>
                    </w:rPr>
                    <w:t>委托常州市锦云工业废弃物处理有限公司处置</w:t>
                  </w:r>
                </w:p>
              </w:tc>
            </w:tr>
          </w:tbl>
          <w:p>
            <w:pPr>
              <w:adjustRightInd w:val="0"/>
              <w:snapToGrid w:val="0"/>
              <w:spacing w:line="360" w:lineRule="auto"/>
              <w:rPr>
                <w:b/>
                <w:sz w:val="24"/>
              </w:rPr>
            </w:pPr>
          </w:p>
        </w:tc>
      </w:tr>
    </w:tbl>
    <w:p>
      <w:pPr>
        <w:widowControl/>
        <w:jc w:val="left"/>
        <w:outlineLvl w:val="0"/>
        <w:rPr>
          <w:sz w:val="24"/>
        </w:rPr>
      </w:pPr>
    </w:p>
    <w:p>
      <w:pPr>
        <w:widowControl/>
        <w:jc w:val="left"/>
        <w:outlineLvl w:val="0"/>
        <w:rPr>
          <w:sz w:val="24"/>
        </w:rPr>
      </w:pPr>
      <w:r>
        <w:rPr>
          <w:sz w:val="24"/>
        </w:rPr>
        <w:t>表四</w:t>
      </w:r>
    </w:p>
    <w:tbl>
      <w:tblPr>
        <w:tblStyle w:val="18"/>
        <w:tblW w:w="9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82" w:type="dxa"/>
          </w:tcPr>
          <w:p>
            <w:pPr>
              <w:spacing w:line="360" w:lineRule="exact"/>
              <w:rPr>
                <w:b/>
                <w:sz w:val="24"/>
              </w:rPr>
            </w:pPr>
            <w:r>
              <w:rPr>
                <w:b/>
                <w:sz w:val="24"/>
              </w:rPr>
              <w:t>建设项目变动情况</w:t>
            </w:r>
          </w:p>
          <w:p>
            <w:pPr>
              <w:jc w:val="center"/>
              <w:rPr>
                <w:b/>
                <w:bCs/>
                <w:sz w:val="24"/>
              </w:rPr>
            </w:pPr>
            <w:r>
              <w:rPr>
                <w:b/>
                <w:bCs/>
                <w:sz w:val="24"/>
              </w:rPr>
              <w:t>表4-1  建设项目变动内容核查表</w:t>
            </w:r>
          </w:p>
          <w:tbl>
            <w:tblPr>
              <w:tblStyle w:val="18"/>
              <w:tblW w:w="85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80"/>
              <w:gridCol w:w="3776"/>
              <w:gridCol w:w="2268"/>
              <w:gridCol w:w="1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b/>
                      <w:szCs w:val="21"/>
                    </w:rPr>
                  </w:pPr>
                  <w:r>
                    <w:rPr>
                      <w:rFonts w:hAnsi="宋体"/>
                      <w:b/>
                      <w:szCs w:val="21"/>
                    </w:rPr>
                    <w:t>序号</w:t>
                  </w:r>
                </w:p>
              </w:tc>
              <w:tc>
                <w:tcPr>
                  <w:tcW w:w="780" w:type="dxa"/>
                  <w:vAlign w:val="center"/>
                </w:tcPr>
                <w:p>
                  <w:pPr>
                    <w:jc w:val="center"/>
                    <w:rPr>
                      <w:b/>
                      <w:szCs w:val="21"/>
                    </w:rPr>
                  </w:pPr>
                  <w:r>
                    <w:rPr>
                      <w:rFonts w:hAnsi="宋体"/>
                      <w:b/>
                      <w:szCs w:val="21"/>
                    </w:rPr>
                    <w:t>类别</w:t>
                  </w:r>
                </w:p>
              </w:tc>
              <w:tc>
                <w:tcPr>
                  <w:tcW w:w="3776" w:type="dxa"/>
                  <w:vAlign w:val="center"/>
                </w:tcPr>
                <w:p>
                  <w:pPr>
                    <w:jc w:val="center"/>
                    <w:rPr>
                      <w:b/>
                      <w:szCs w:val="21"/>
                    </w:rPr>
                  </w:pPr>
                  <w:r>
                    <w:rPr>
                      <w:rFonts w:hAnsi="宋体"/>
                      <w:b/>
                      <w:szCs w:val="21"/>
                    </w:rPr>
                    <w:t>文件内容</w:t>
                  </w:r>
                </w:p>
              </w:tc>
              <w:tc>
                <w:tcPr>
                  <w:tcW w:w="2268" w:type="dxa"/>
                  <w:vAlign w:val="center"/>
                </w:tcPr>
                <w:p>
                  <w:pPr>
                    <w:jc w:val="center"/>
                    <w:rPr>
                      <w:b/>
                      <w:szCs w:val="21"/>
                    </w:rPr>
                  </w:pPr>
                  <w:r>
                    <w:rPr>
                      <w:rFonts w:hAnsi="宋体"/>
                      <w:b/>
                      <w:szCs w:val="21"/>
                    </w:rPr>
                    <w:t>对照情况</w:t>
                  </w:r>
                </w:p>
              </w:tc>
              <w:tc>
                <w:tcPr>
                  <w:tcW w:w="1089" w:type="dxa"/>
                  <w:vAlign w:val="center"/>
                </w:tcPr>
                <w:p>
                  <w:pPr>
                    <w:jc w:val="center"/>
                    <w:rPr>
                      <w:b/>
                      <w:szCs w:val="21"/>
                    </w:rPr>
                  </w:pPr>
                  <w:r>
                    <w:rPr>
                      <w:rFonts w:hAnsi="宋体"/>
                      <w:b/>
                      <w:szCs w:val="21"/>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55" w:type="dxa"/>
                  <w:vAlign w:val="center"/>
                </w:tcPr>
                <w:p>
                  <w:pPr>
                    <w:jc w:val="center"/>
                    <w:rPr>
                      <w:szCs w:val="21"/>
                    </w:rPr>
                  </w:pPr>
                  <w:r>
                    <w:rPr>
                      <w:szCs w:val="21"/>
                    </w:rPr>
                    <w:t>1</w:t>
                  </w:r>
                </w:p>
              </w:tc>
              <w:tc>
                <w:tcPr>
                  <w:tcW w:w="780" w:type="dxa"/>
                  <w:vAlign w:val="center"/>
                </w:tcPr>
                <w:p>
                  <w:pPr>
                    <w:jc w:val="center"/>
                    <w:rPr>
                      <w:szCs w:val="21"/>
                    </w:rPr>
                  </w:pPr>
                  <w:r>
                    <w:rPr>
                      <w:rFonts w:hAnsi="宋体"/>
                      <w:szCs w:val="21"/>
                    </w:rPr>
                    <w:t>性质</w:t>
                  </w:r>
                </w:p>
              </w:tc>
              <w:tc>
                <w:tcPr>
                  <w:tcW w:w="3776" w:type="dxa"/>
                  <w:vAlign w:val="center"/>
                </w:tcPr>
                <w:p>
                  <w:pPr>
                    <w:jc w:val="center"/>
                    <w:rPr>
                      <w:szCs w:val="21"/>
                    </w:rPr>
                  </w:pPr>
                  <w:r>
                    <w:rPr>
                      <w:rFonts w:hAnsi="宋体"/>
                      <w:szCs w:val="21"/>
                    </w:rPr>
                    <w:t>主要产品品种发生变化（变少的除外）</w:t>
                  </w:r>
                </w:p>
              </w:tc>
              <w:tc>
                <w:tcPr>
                  <w:tcW w:w="2268" w:type="dxa"/>
                  <w:vAlign w:val="center"/>
                </w:tcPr>
                <w:p>
                  <w:pPr>
                    <w:jc w:val="center"/>
                    <w:rPr>
                      <w:szCs w:val="21"/>
                    </w:rPr>
                  </w:pPr>
                  <w:r>
                    <w:rPr>
                      <w:rFonts w:hAnsi="宋体"/>
                      <w:szCs w:val="21"/>
                    </w:rPr>
                    <w:t>主要产品品种未发生变化</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2</w:t>
                  </w:r>
                </w:p>
              </w:tc>
              <w:tc>
                <w:tcPr>
                  <w:tcW w:w="780" w:type="dxa"/>
                  <w:vMerge w:val="restart"/>
                  <w:vAlign w:val="center"/>
                </w:tcPr>
                <w:p>
                  <w:pPr>
                    <w:jc w:val="center"/>
                    <w:rPr>
                      <w:szCs w:val="21"/>
                    </w:rPr>
                  </w:pPr>
                  <w:r>
                    <w:rPr>
                      <w:rFonts w:hAnsi="宋体"/>
                      <w:szCs w:val="21"/>
                    </w:rPr>
                    <w:t>规模</w:t>
                  </w:r>
                </w:p>
              </w:tc>
              <w:tc>
                <w:tcPr>
                  <w:tcW w:w="3776" w:type="dxa"/>
                  <w:vAlign w:val="center"/>
                </w:tcPr>
                <w:p>
                  <w:pPr>
                    <w:jc w:val="center"/>
                    <w:rPr>
                      <w:szCs w:val="21"/>
                    </w:rPr>
                  </w:pPr>
                  <w:r>
                    <w:rPr>
                      <w:rFonts w:hAnsi="宋体"/>
                      <w:szCs w:val="21"/>
                    </w:rPr>
                    <w:t>配套的仓储设施（储存危险化学品或其他环境风险大的物品）总储存总量增加</w:t>
                  </w:r>
                  <w:r>
                    <w:rPr>
                      <w:szCs w:val="21"/>
                    </w:rPr>
                    <w:t>30%</w:t>
                  </w:r>
                  <w:r>
                    <w:rPr>
                      <w:rFonts w:hAnsi="宋体"/>
                      <w:szCs w:val="21"/>
                    </w:rPr>
                    <w:t>及以上</w:t>
                  </w:r>
                </w:p>
              </w:tc>
              <w:tc>
                <w:tcPr>
                  <w:tcW w:w="2268" w:type="dxa"/>
                  <w:vAlign w:val="center"/>
                </w:tcPr>
                <w:p>
                  <w:pPr>
                    <w:jc w:val="center"/>
                    <w:rPr>
                      <w:szCs w:val="21"/>
                    </w:rPr>
                  </w:pPr>
                  <w:r>
                    <w:rPr>
                      <w:rFonts w:hAnsi="宋体"/>
                      <w:szCs w:val="21"/>
                    </w:rPr>
                    <w:t>配套的仓储设施总储存未增加</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3</w:t>
                  </w:r>
                </w:p>
              </w:tc>
              <w:tc>
                <w:tcPr>
                  <w:tcW w:w="780" w:type="dxa"/>
                  <w:vMerge w:val="continue"/>
                  <w:vAlign w:val="center"/>
                </w:tcPr>
                <w:p>
                  <w:pPr>
                    <w:jc w:val="center"/>
                    <w:rPr>
                      <w:szCs w:val="21"/>
                    </w:rPr>
                  </w:pPr>
                </w:p>
              </w:tc>
              <w:tc>
                <w:tcPr>
                  <w:tcW w:w="3776" w:type="dxa"/>
                  <w:vAlign w:val="center"/>
                </w:tcPr>
                <w:p>
                  <w:pPr>
                    <w:jc w:val="center"/>
                    <w:rPr>
                      <w:szCs w:val="21"/>
                    </w:rPr>
                  </w:pPr>
                  <w:r>
                    <w:rPr>
                      <w:rFonts w:hAnsi="宋体"/>
                      <w:szCs w:val="21"/>
                    </w:rPr>
                    <w:t>新增生产装置，导致新增污染因子或污染物排放量增加；原有生产装置规模增加</w:t>
                  </w:r>
                  <w:r>
                    <w:rPr>
                      <w:szCs w:val="21"/>
                    </w:rPr>
                    <w:t>30%</w:t>
                  </w:r>
                  <w:r>
                    <w:rPr>
                      <w:rFonts w:hAnsi="宋体"/>
                      <w:szCs w:val="21"/>
                    </w:rPr>
                    <w:t>及以上，导致新增污染因子或污染物排放量增加</w:t>
                  </w:r>
                </w:p>
              </w:tc>
              <w:tc>
                <w:tcPr>
                  <w:tcW w:w="2268" w:type="dxa"/>
                  <w:vAlign w:val="center"/>
                </w:tcPr>
                <w:p>
                  <w:pPr>
                    <w:jc w:val="center"/>
                    <w:rPr>
                      <w:szCs w:val="21"/>
                    </w:rPr>
                  </w:pPr>
                  <w:r>
                    <w:rPr>
                      <w:rFonts w:hint="eastAsia" w:hAnsi="宋体"/>
                      <w:szCs w:val="21"/>
                    </w:rPr>
                    <w:t>未</w:t>
                  </w:r>
                  <w:r>
                    <w:rPr>
                      <w:rFonts w:hAnsi="宋体"/>
                      <w:szCs w:val="21"/>
                    </w:rPr>
                    <w:t>新增生产装置</w:t>
                  </w:r>
                  <w:r>
                    <w:rPr>
                      <w:rFonts w:hint="eastAsia" w:hAnsi="宋体"/>
                      <w:szCs w:val="21"/>
                    </w:rPr>
                    <w:t>，</w:t>
                  </w:r>
                  <w:r>
                    <w:rPr>
                      <w:rFonts w:hAnsi="宋体"/>
                      <w:szCs w:val="21"/>
                    </w:rPr>
                    <w:t>未导致新增污染因子或污染物排放量增加。</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4</w:t>
                  </w:r>
                </w:p>
              </w:tc>
              <w:tc>
                <w:tcPr>
                  <w:tcW w:w="780" w:type="dxa"/>
                  <w:vMerge w:val="continue"/>
                  <w:vAlign w:val="center"/>
                </w:tcPr>
                <w:p>
                  <w:pPr>
                    <w:jc w:val="center"/>
                    <w:rPr>
                      <w:szCs w:val="21"/>
                    </w:rPr>
                  </w:pPr>
                </w:p>
              </w:tc>
              <w:tc>
                <w:tcPr>
                  <w:tcW w:w="3776" w:type="dxa"/>
                  <w:vAlign w:val="center"/>
                </w:tcPr>
                <w:p>
                  <w:pPr>
                    <w:jc w:val="center"/>
                    <w:rPr>
                      <w:szCs w:val="21"/>
                    </w:rPr>
                  </w:pPr>
                  <w:r>
                    <w:rPr>
                      <w:rFonts w:hAnsi="宋体"/>
                      <w:szCs w:val="21"/>
                    </w:rPr>
                    <w:t>生产能力增加</w:t>
                  </w:r>
                  <w:r>
                    <w:rPr>
                      <w:szCs w:val="21"/>
                    </w:rPr>
                    <w:t>30%</w:t>
                  </w:r>
                  <w:r>
                    <w:rPr>
                      <w:rFonts w:hAnsi="宋体"/>
                      <w:szCs w:val="21"/>
                    </w:rPr>
                    <w:t>及以上</w:t>
                  </w:r>
                </w:p>
              </w:tc>
              <w:tc>
                <w:tcPr>
                  <w:tcW w:w="2268" w:type="dxa"/>
                  <w:vAlign w:val="center"/>
                </w:tcPr>
                <w:p>
                  <w:pPr>
                    <w:jc w:val="center"/>
                    <w:rPr>
                      <w:szCs w:val="21"/>
                    </w:rPr>
                  </w:pPr>
                  <w:r>
                    <w:rPr>
                      <w:rFonts w:hint="eastAsia" w:hAnsi="宋体"/>
                      <w:szCs w:val="21"/>
                    </w:rPr>
                    <w:t>本</w:t>
                  </w:r>
                  <w:r>
                    <w:rPr>
                      <w:rFonts w:hAnsi="宋体"/>
                      <w:szCs w:val="21"/>
                    </w:rPr>
                    <w:t>次验收为分期验收</w:t>
                  </w:r>
                  <w:r>
                    <w:rPr>
                      <w:rFonts w:hint="eastAsia" w:hAnsi="宋体"/>
                      <w:szCs w:val="21"/>
                    </w:rPr>
                    <w:t>，</w:t>
                  </w:r>
                  <w:r>
                    <w:rPr>
                      <w:rFonts w:hAnsi="宋体"/>
                      <w:szCs w:val="21"/>
                    </w:rPr>
                    <w:t>产能为环评设计产能</w:t>
                  </w:r>
                  <w:r>
                    <w:rPr>
                      <w:rFonts w:hint="eastAsia" w:hAnsi="宋体"/>
                      <w:szCs w:val="21"/>
                    </w:rPr>
                    <w:t>66.7%</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5</w:t>
                  </w:r>
                </w:p>
              </w:tc>
              <w:tc>
                <w:tcPr>
                  <w:tcW w:w="780" w:type="dxa"/>
                  <w:vMerge w:val="restart"/>
                  <w:vAlign w:val="center"/>
                </w:tcPr>
                <w:p>
                  <w:pPr>
                    <w:jc w:val="center"/>
                    <w:rPr>
                      <w:szCs w:val="21"/>
                    </w:rPr>
                  </w:pPr>
                  <w:r>
                    <w:rPr>
                      <w:rFonts w:hAnsi="宋体"/>
                      <w:szCs w:val="21"/>
                    </w:rPr>
                    <w:t>地点</w:t>
                  </w:r>
                </w:p>
              </w:tc>
              <w:tc>
                <w:tcPr>
                  <w:tcW w:w="3776" w:type="dxa"/>
                  <w:vAlign w:val="center"/>
                </w:tcPr>
                <w:p>
                  <w:pPr>
                    <w:jc w:val="center"/>
                    <w:rPr>
                      <w:szCs w:val="21"/>
                    </w:rPr>
                  </w:pPr>
                  <w:r>
                    <w:rPr>
                      <w:rFonts w:hAnsi="宋体"/>
                      <w:szCs w:val="21"/>
                    </w:rPr>
                    <w:t>项目重新选址</w:t>
                  </w:r>
                </w:p>
              </w:tc>
              <w:tc>
                <w:tcPr>
                  <w:tcW w:w="2268" w:type="dxa"/>
                  <w:vAlign w:val="center"/>
                </w:tcPr>
                <w:p>
                  <w:pPr>
                    <w:jc w:val="center"/>
                    <w:rPr>
                      <w:szCs w:val="21"/>
                    </w:rPr>
                  </w:pPr>
                  <w:r>
                    <w:rPr>
                      <w:rFonts w:hAnsi="宋体"/>
                      <w:szCs w:val="21"/>
                    </w:rPr>
                    <w:t>选址未发生变化</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6</w:t>
                  </w:r>
                </w:p>
              </w:tc>
              <w:tc>
                <w:tcPr>
                  <w:tcW w:w="780" w:type="dxa"/>
                  <w:vMerge w:val="continue"/>
                  <w:vAlign w:val="center"/>
                </w:tcPr>
                <w:p>
                  <w:pPr>
                    <w:jc w:val="center"/>
                    <w:rPr>
                      <w:szCs w:val="21"/>
                    </w:rPr>
                  </w:pPr>
                </w:p>
              </w:tc>
              <w:tc>
                <w:tcPr>
                  <w:tcW w:w="3776" w:type="dxa"/>
                  <w:vAlign w:val="center"/>
                </w:tcPr>
                <w:p>
                  <w:pPr>
                    <w:jc w:val="center"/>
                    <w:rPr>
                      <w:szCs w:val="21"/>
                    </w:rPr>
                  </w:pPr>
                  <w:r>
                    <w:rPr>
                      <w:rFonts w:hAnsi="宋体"/>
                      <w:szCs w:val="21"/>
                    </w:rPr>
                    <w:t>在原厂址内调整（包括总平面布置或生产装置发生变化）导致不利环境影响显著增加</w:t>
                  </w:r>
                </w:p>
              </w:tc>
              <w:tc>
                <w:tcPr>
                  <w:tcW w:w="2268" w:type="dxa"/>
                  <w:vAlign w:val="center"/>
                </w:tcPr>
                <w:p>
                  <w:pPr>
                    <w:jc w:val="center"/>
                    <w:rPr>
                      <w:szCs w:val="21"/>
                    </w:rPr>
                  </w:pPr>
                  <w:r>
                    <w:rPr>
                      <w:rFonts w:hAnsi="宋体"/>
                      <w:szCs w:val="21"/>
                    </w:rPr>
                    <w:t>总平面布置或生产装置在原厂址内未发生变化</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7</w:t>
                  </w:r>
                </w:p>
              </w:tc>
              <w:tc>
                <w:tcPr>
                  <w:tcW w:w="780" w:type="dxa"/>
                  <w:vMerge w:val="continue"/>
                  <w:vAlign w:val="center"/>
                </w:tcPr>
                <w:p>
                  <w:pPr>
                    <w:jc w:val="center"/>
                    <w:rPr>
                      <w:szCs w:val="21"/>
                    </w:rPr>
                  </w:pPr>
                </w:p>
              </w:tc>
              <w:tc>
                <w:tcPr>
                  <w:tcW w:w="3776" w:type="dxa"/>
                  <w:vAlign w:val="center"/>
                </w:tcPr>
                <w:p>
                  <w:pPr>
                    <w:jc w:val="center"/>
                    <w:rPr>
                      <w:szCs w:val="21"/>
                    </w:rPr>
                  </w:pPr>
                  <w:r>
                    <w:rPr>
                      <w:rFonts w:hAnsi="宋体"/>
                      <w:szCs w:val="21"/>
                    </w:rPr>
                    <w:t>防护距离边界发生变化并新增了敏感点</w:t>
                  </w:r>
                </w:p>
              </w:tc>
              <w:tc>
                <w:tcPr>
                  <w:tcW w:w="2268" w:type="dxa"/>
                  <w:vAlign w:val="center"/>
                </w:tcPr>
                <w:p>
                  <w:pPr>
                    <w:jc w:val="center"/>
                    <w:rPr>
                      <w:szCs w:val="21"/>
                    </w:rPr>
                  </w:pPr>
                  <w:r>
                    <w:rPr>
                      <w:rFonts w:hAnsi="宋体"/>
                      <w:szCs w:val="21"/>
                    </w:rPr>
                    <w:t>防护距离边界未发生变化，未新增敏感点</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8</w:t>
                  </w:r>
                </w:p>
              </w:tc>
              <w:tc>
                <w:tcPr>
                  <w:tcW w:w="780" w:type="dxa"/>
                  <w:vMerge w:val="continue"/>
                  <w:vAlign w:val="center"/>
                </w:tcPr>
                <w:p>
                  <w:pPr>
                    <w:jc w:val="center"/>
                    <w:rPr>
                      <w:szCs w:val="21"/>
                    </w:rPr>
                  </w:pPr>
                </w:p>
              </w:tc>
              <w:tc>
                <w:tcPr>
                  <w:tcW w:w="3776" w:type="dxa"/>
                  <w:vAlign w:val="center"/>
                </w:tcPr>
                <w:p>
                  <w:pPr>
                    <w:jc w:val="center"/>
                    <w:rPr>
                      <w:szCs w:val="21"/>
                    </w:rPr>
                  </w:pPr>
                  <w:r>
                    <w:rPr>
                      <w:rFonts w:hAnsi="宋体"/>
                      <w:szCs w:val="21"/>
                    </w:rPr>
                    <w:t>厂外管线路有调整，穿越新的环境敏感区；在现有环境敏感区内发生变动且环境影响或环境风险显著增大</w:t>
                  </w:r>
                </w:p>
              </w:tc>
              <w:tc>
                <w:tcPr>
                  <w:tcW w:w="2268" w:type="dxa"/>
                  <w:vAlign w:val="center"/>
                </w:tcPr>
                <w:p>
                  <w:pPr>
                    <w:jc w:val="center"/>
                    <w:rPr>
                      <w:szCs w:val="21"/>
                    </w:rPr>
                  </w:pPr>
                  <w:r>
                    <w:rPr>
                      <w:rFonts w:hAnsi="宋体"/>
                      <w:szCs w:val="21"/>
                    </w:rPr>
                    <w:t>不涉及</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9</w:t>
                  </w:r>
                </w:p>
              </w:tc>
              <w:tc>
                <w:tcPr>
                  <w:tcW w:w="780" w:type="dxa"/>
                  <w:vAlign w:val="center"/>
                </w:tcPr>
                <w:p>
                  <w:pPr>
                    <w:jc w:val="center"/>
                    <w:rPr>
                      <w:szCs w:val="21"/>
                    </w:rPr>
                  </w:pPr>
                  <w:r>
                    <w:rPr>
                      <w:rFonts w:hAnsi="宋体"/>
                      <w:szCs w:val="21"/>
                    </w:rPr>
                    <w:t>生产工艺</w:t>
                  </w:r>
                </w:p>
              </w:tc>
              <w:tc>
                <w:tcPr>
                  <w:tcW w:w="3776" w:type="dxa"/>
                  <w:vAlign w:val="center"/>
                </w:tcPr>
                <w:p>
                  <w:pPr>
                    <w:jc w:val="center"/>
                    <w:rPr>
                      <w:szCs w:val="21"/>
                    </w:rPr>
                  </w:pPr>
                  <w:r>
                    <w:rPr>
                      <w:rFonts w:hAnsi="宋体"/>
                      <w:szCs w:val="21"/>
                    </w:rPr>
                    <w:t>主要生产装置类型、主要原辅材料类型、主要燃烧类型以及其他生产工艺和技术调整且导致新增污染因子或污染物排放量增加</w:t>
                  </w:r>
                </w:p>
              </w:tc>
              <w:tc>
                <w:tcPr>
                  <w:tcW w:w="2268" w:type="dxa"/>
                  <w:vAlign w:val="center"/>
                </w:tcPr>
                <w:p>
                  <w:pPr>
                    <w:jc w:val="center"/>
                    <w:rPr>
                      <w:szCs w:val="21"/>
                    </w:rPr>
                  </w:pPr>
                  <w:r>
                    <w:rPr>
                      <w:rFonts w:hAnsi="宋体"/>
                      <w:szCs w:val="21"/>
                    </w:rPr>
                    <w:t>主要原辅材料类型、主要燃烧类型以及其他生产工艺和技术一致，生产装置</w:t>
                  </w:r>
                  <w:r>
                    <w:rPr>
                      <w:rFonts w:hint="eastAsia" w:hAnsi="宋体"/>
                      <w:szCs w:val="21"/>
                    </w:rPr>
                    <w:t>减少1台一室真空炉</w:t>
                  </w:r>
                  <w:r>
                    <w:rPr>
                      <w:rFonts w:hAnsi="宋体"/>
                      <w:szCs w:val="21"/>
                    </w:rPr>
                    <w:t>，未导致新增污染因子或污染物排放量增加。</w:t>
                  </w:r>
                </w:p>
              </w:tc>
              <w:tc>
                <w:tcPr>
                  <w:tcW w:w="1089" w:type="dxa"/>
                  <w:vAlign w:val="center"/>
                </w:tcPr>
                <w:p>
                  <w:pPr>
                    <w:jc w:val="center"/>
                    <w:rPr>
                      <w:szCs w:val="21"/>
                    </w:rPr>
                  </w:pPr>
                  <w:r>
                    <w:rPr>
                      <w:rFonts w:hAnsi="宋体"/>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55" w:type="dxa"/>
                  <w:vAlign w:val="center"/>
                </w:tcPr>
                <w:p>
                  <w:pPr>
                    <w:jc w:val="center"/>
                    <w:rPr>
                      <w:szCs w:val="21"/>
                    </w:rPr>
                  </w:pPr>
                  <w:r>
                    <w:rPr>
                      <w:szCs w:val="21"/>
                    </w:rPr>
                    <w:t>10</w:t>
                  </w:r>
                </w:p>
              </w:tc>
              <w:tc>
                <w:tcPr>
                  <w:tcW w:w="780" w:type="dxa"/>
                  <w:vAlign w:val="center"/>
                </w:tcPr>
                <w:p>
                  <w:pPr>
                    <w:jc w:val="center"/>
                    <w:rPr>
                      <w:szCs w:val="21"/>
                    </w:rPr>
                  </w:pPr>
                  <w:r>
                    <w:rPr>
                      <w:rFonts w:hAnsi="宋体"/>
                      <w:szCs w:val="21"/>
                    </w:rPr>
                    <w:t>环境保护措施</w:t>
                  </w:r>
                </w:p>
              </w:tc>
              <w:tc>
                <w:tcPr>
                  <w:tcW w:w="3776" w:type="dxa"/>
                  <w:vAlign w:val="center"/>
                </w:tcPr>
                <w:p>
                  <w:pPr>
                    <w:jc w:val="center"/>
                    <w:rPr>
                      <w:szCs w:val="21"/>
                    </w:rPr>
                  </w:pPr>
                  <w:r>
                    <w:rPr>
                      <w:rFonts w:hAnsi="宋体"/>
                      <w:szCs w:val="21"/>
                    </w:rPr>
                    <w:t>污染防治措施的工艺、规模、处置去向、排放形式等调整，导致新增污染因子或污染物排放量、范围或强度增加；其他可能导致环境影响或环境风险增大的环保措施变动</w:t>
                  </w:r>
                </w:p>
              </w:tc>
              <w:tc>
                <w:tcPr>
                  <w:tcW w:w="2268" w:type="dxa"/>
                  <w:vAlign w:val="center"/>
                </w:tcPr>
                <w:p>
                  <w:pPr>
                    <w:jc w:val="center"/>
                    <w:rPr>
                      <w:szCs w:val="21"/>
                    </w:rPr>
                  </w:pPr>
                  <w:r>
                    <w:rPr>
                      <w:rFonts w:hAnsi="宋体"/>
                      <w:szCs w:val="21"/>
                    </w:rPr>
                    <w:t>污染防治措施的工艺、规模、处置去向、排放形式</w:t>
                  </w:r>
                  <w:r>
                    <w:rPr>
                      <w:rFonts w:hint="eastAsia" w:hAnsi="宋体"/>
                      <w:szCs w:val="21"/>
                    </w:rPr>
                    <w:t>未发生调整</w:t>
                  </w:r>
                </w:p>
              </w:tc>
              <w:tc>
                <w:tcPr>
                  <w:tcW w:w="1089" w:type="dxa"/>
                  <w:vAlign w:val="center"/>
                </w:tcPr>
                <w:p>
                  <w:pPr>
                    <w:jc w:val="center"/>
                    <w:rPr>
                      <w:szCs w:val="21"/>
                    </w:rPr>
                  </w:pPr>
                  <w:r>
                    <w:rPr>
                      <w:rFonts w:hAnsi="宋体"/>
                      <w:szCs w:val="21"/>
                    </w:rPr>
                    <w:t>否</w:t>
                  </w:r>
                </w:p>
              </w:tc>
            </w:tr>
          </w:tbl>
          <w:p>
            <w:pPr>
              <w:spacing w:line="360" w:lineRule="auto"/>
              <w:ind w:firstLine="480" w:firstLineChars="200"/>
              <w:rPr>
                <w:rFonts w:eastAsiaTheme="minorEastAsia"/>
                <w:sz w:val="24"/>
              </w:rPr>
            </w:pPr>
            <w:r>
              <w:rPr>
                <w:rFonts w:hAnsi="宋体"/>
                <w:sz w:val="24"/>
              </w:rPr>
              <w:t>企业根据《关于加强建设项目重大变动环评管理的通知》（苏环办</w:t>
            </w:r>
            <w:r>
              <w:rPr>
                <w:sz w:val="24"/>
              </w:rPr>
              <w:t>[2015]256</w:t>
            </w:r>
            <w:r>
              <w:rPr>
                <w:rFonts w:hAnsi="宋体"/>
                <w:sz w:val="24"/>
              </w:rPr>
              <w:t>号）</w:t>
            </w:r>
            <w:r>
              <w:rPr>
                <w:rFonts w:hint="eastAsia" w:hAnsi="宋体"/>
                <w:sz w:val="24"/>
              </w:rPr>
              <w:t>及</w:t>
            </w:r>
            <w:r>
              <w:rPr>
                <w:rFonts w:hAnsi="宋体"/>
                <w:sz w:val="24"/>
              </w:rPr>
              <w:t>附件</w:t>
            </w:r>
            <w:r>
              <w:rPr>
                <w:rFonts w:hint="eastAsia" w:hAnsi="宋体"/>
                <w:sz w:val="24"/>
              </w:rPr>
              <w:t>6《关于丰臣（常州）热处理有限公司新建金属制品热处理加工项目的情况说明》</w:t>
            </w:r>
            <w:r>
              <w:rPr>
                <w:rFonts w:hAnsi="宋体"/>
                <w:sz w:val="24"/>
              </w:rPr>
              <w:t>有关内容，对该建设项目变动情况及环境影响进行核实。根据企业自查报告</w:t>
            </w:r>
            <w:r>
              <w:rPr>
                <w:rFonts w:hint="eastAsia" w:hAnsi="宋体"/>
                <w:sz w:val="24"/>
              </w:rPr>
              <w:t>，</w:t>
            </w:r>
            <w:r>
              <w:rPr>
                <w:rFonts w:hAnsi="宋体"/>
                <w:sz w:val="24"/>
              </w:rPr>
              <w:t>本项目生产设备的变动不属于重大变动，纳入竣工环境保护验收管理。</w:t>
            </w:r>
          </w:p>
        </w:tc>
      </w:tr>
    </w:tbl>
    <w:p>
      <w:pPr>
        <w:outlineLvl w:val="0"/>
        <w:rPr>
          <w:sz w:val="24"/>
        </w:rPr>
      </w:pPr>
      <w:r>
        <w:rPr>
          <w:sz w:val="24"/>
        </w:rPr>
        <w:t>表五</w:t>
      </w:r>
    </w:p>
    <w:tbl>
      <w:tblPr>
        <w:tblStyle w:val="18"/>
        <w:tblW w:w="9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78" w:hRule="atLeast"/>
          <w:jc w:val="center"/>
        </w:trPr>
        <w:tc>
          <w:tcPr>
            <w:tcW w:w="9082" w:type="dxa"/>
          </w:tcPr>
          <w:p>
            <w:pPr>
              <w:spacing w:line="360" w:lineRule="auto"/>
              <w:jc w:val="left"/>
              <w:rPr>
                <w:rFonts w:eastAsiaTheme="minorEastAsia"/>
                <w:b/>
                <w:bCs/>
                <w:sz w:val="24"/>
              </w:rPr>
            </w:pPr>
            <w:r>
              <w:rPr>
                <w:rFonts w:eastAsiaTheme="minorEastAsia"/>
                <w:b/>
                <w:bCs/>
                <w:sz w:val="24"/>
              </w:rPr>
              <w:t>建设项目环境影响报告表主要结论及审批部门审批决定：</w:t>
            </w:r>
          </w:p>
          <w:p>
            <w:pPr>
              <w:spacing w:line="360" w:lineRule="auto"/>
              <w:rPr>
                <w:rFonts w:eastAsiaTheme="minorEastAsia"/>
                <w:b/>
                <w:bCs/>
                <w:sz w:val="24"/>
              </w:rPr>
            </w:pPr>
            <w:r>
              <w:rPr>
                <w:rFonts w:eastAsiaTheme="minorEastAsia"/>
                <w:b/>
                <w:bCs/>
                <w:sz w:val="24"/>
              </w:rPr>
              <w:t>建设项目环评报告表的主要结论：</w:t>
            </w:r>
          </w:p>
          <w:p>
            <w:pPr>
              <w:widowControl/>
              <w:jc w:val="center"/>
              <w:rPr>
                <w:rFonts w:ascii="宋体" w:hAnsi="宋体" w:cs="宋体"/>
                <w:kern w:val="0"/>
                <w:sz w:val="24"/>
              </w:rPr>
            </w:pPr>
            <w:r>
              <w:rPr>
                <w:rFonts w:ascii="宋体" w:hAnsi="宋体" w:cs="宋体"/>
                <w:kern w:val="0"/>
                <w:sz w:val="24"/>
              </w:rPr>
              <w:drawing>
                <wp:inline distT="0" distB="0" distL="0" distR="0">
                  <wp:extent cx="4363085" cy="7753350"/>
                  <wp:effectExtent l="19050" t="0" r="0" b="0"/>
                  <wp:docPr id="10" name="图片 10" descr="C:\Users\Lenovo\Documents\Tencent Files\1063446887\Image\C2C\A5870F17CA8E83B94B882A6914C59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ocuments\Tencent Files\1063446887\Image\C2C\A5870F17CA8E83B94B882A6914C59C35.png"/>
                          <pic:cNvPicPr>
                            <a:picLocks noChangeAspect="1" noChangeArrowheads="1"/>
                          </pic:cNvPicPr>
                        </pic:nvPicPr>
                        <pic:blipFill>
                          <a:blip r:embed="rId23"/>
                          <a:srcRect/>
                          <a:stretch>
                            <a:fillRect/>
                          </a:stretch>
                        </pic:blipFill>
                        <pic:spPr>
                          <a:xfrm>
                            <a:off x="0" y="0"/>
                            <a:ext cx="4366146" cy="7758685"/>
                          </a:xfrm>
                          <a:prstGeom prst="rect">
                            <a:avLst/>
                          </a:prstGeom>
                          <a:noFill/>
                          <a:ln w="9525">
                            <a:noFill/>
                            <a:miter lim="800000"/>
                            <a:headEnd/>
                            <a:tailEnd/>
                          </a:ln>
                        </pic:spPr>
                      </pic:pic>
                    </a:graphicData>
                  </a:graphic>
                </wp:inline>
              </w:drawing>
            </w:r>
          </w:p>
          <w:p>
            <w:pPr>
              <w:widowControl/>
              <w:jc w:val="left"/>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drawing>
                <wp:inline distT="0" distB="0" distL="0" distR="0">
                  <wp:extent cx="5102225" cy="8125460"/>
                  <wp:effectExtent l="19050" t="0" r="2899" b="0"/>
                  <wp:docPr id="11" name="图片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2.jpg"/>
                          <pic:cNvPicPr>
                            <a:picLocks noChangeAspect="1"/>
                          </pic:cNvPicPr>
                        </pic:nvPicPr>
                        <pic:blipFill>
                          <a:blip r:embed="rId24"/>
                          <a:srcRect t="10456"/>
                          <a:stretch>
                            <a:fillRect/>
                          </a:stretch>
                        </pic:blipFill>
                        <pic:spPr>
                          <a:xfrm>
                            <a:off x="0" y="0"/>
                            <a:ext cx="5102501" cy="8126083"/>
                          </a:xfrm>
                          <a:prstGeom prst="rect">
                            <a:avLst/>
                          </a:prstGeom>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drawing>
                <wp:inline distT="0" distB="0" distL="0" distR="0">
                  <wp:extent cx="5102225" cy="8772525"/>
                  <wp:effectExtent l="19050" t="0" r="2899" b="0"/>
                  <wp:docPr id="13" name="图片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3.jpg"/>
                          <pic:cNvPicPr>
                            <a:picLocks noChangeAspect="1"/>
                          </pic:cNvPicPr>
                        </pic:nvPicPr>
                        <pic:blipFill>
                          <a:blip r:embed="rId25"/>
                          <a:srcRect t="3327"/>
                          <a:stretch>
                            <a:fillRect/>
                          </a:stretch>
                        </pic:blipFill>
                        <pic:spPr>
                          <a:xfrm>
                            <a:off x="0" y="0"/>
                            <a:ext cx="5102501" cy="8773064"/>
                          </a:xfrm>
                          <a:prstGeom prst="rect">
                            <a:avLst/>
                          </a:prstGeom>
                        </pic:spPr>
                      </pic:pic>
                    </a:graphicData>
                  </a:graphic>
                </wp:inline>
              </w:drawing>
            </w:r>
          </w:p>
          <w:p>
            <w:pPr>
              <w:widowControl/>
              <w:jc w:val="center"/>
              <w:rPr>
                <w:rFonts w:ascii="宋体" w:hAnsi="宋体" w:cs="宋体"/>
                <w:kern w:val="0"/>
                <w:sz w:val="24"/>
              </w:rPr>
            </w:pPr>
            <w:r>
              <w:rPr>
                <w:rFonts w:hint="eastAsia" w:ascii="宋体" w:hAnsi="宋体" w:cs="宋体"/>
                <w:kern w:val="0"/>
                <w:sz w:val="24"/>
              </w:rPr>
              <w:drawing>
                <wp:inline distT="0" distB="0" distL="0" distR="0">
                  <wp:extent cx="5102225" cy="8479155"/>
                  <wp:effectExtent l="19050" t="0" r="2899" b="0"/>
                  <wp:docPr id="14" name="图片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4.jpg"/>
                          <pic:cNvPicPr>
                            <a:picLocks noChangeAspect="1"/>
                          </pic:cNvPicPr>
                        </pic:nvPicPr>
                        <pic:blipFill>
                          <a:blip r:embed="rId26"/>
                          <a:srcRect t="5133" b="1426"/>
                          <a:stretch>
                            <a:fillRect/>
                          </a:stretch>
                        </pic:blipFill>
                        <pic:spPr>
                          <a:xfrm>
                            <a:off x="0" y="0"/>
                            <a:ext cx="5102501" cy="8479766"/>
                          </a:xfrm>
                          <a:prstGeom prst="rect">
                            <a:avLst/>
                          </a:prstGeom>
                        </pic:spPr>
                      </pic:pic>
                    </a:graphicData>
                  </a:graphic>
                </wp:inline>
              </w:drawing>
            </w:r>
          </w:p>
          <w:p>
            <w:pPr>
              <w:widowControl/>
              <w:jc w:val="left"/>
              <w:rPr>
                <w:rFonts w:ascii="宋体" w:hAnsi="宋体" w:cs="宋体"/>
                <w:kern w:val="0"/>
                <w:sz w:val="24"/>
              </w:rPr>
            </w:pPr>
          </w:p>
          <w:p>
            <w:pPr>
              <w:widowControl/>
              <w:jc w:val="left"/>
              <w:rPr>
                <w:rFonts w:ascii="宋体" w:hAnsi="宋体" w:cs="宋体"/>
                <w:kern w:val="0"/>
                <w:sz w:val="24"/>
              </w:rPr>
            </w:pPr>
          </w:p>
          <w:p>
            <w:pPr>
              <w:widowControl/>
              <w:jc w:val="center"/>
              <w:rPr>
                <w:rFonts w:ascii="宋体" w:hAnsi="宋体" w:cs="宋体"/>
                <w:kern w:val="0"/>
                <w:sz w:val="24"/>
              </w:rPr>
            </w:pPr>
            <w:r>
              <w:rPr>
                <w:rFonts w:hint="eastAsia" w:ascii="宋体" w:hAnsi="宋体" w:cs="宋体"/>
                <w:kern w:val="0"/>
                <w:sz w:val="24"/>
              </w:rPr>
              <w:drawing>
                <wp:inline distT="0" distB="0" distL="0" distR="0">
                  <wp:extent cx="5102225" cy="8764270"/>
                  <wp:effectExtent l="19050" t="0" r="2899" b="0"/>
                  <wp:docPr id="15" name="图片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5.jpg"/>
                          <pic:cNvPicPr>
                            <a:picLocks noChangeAspect="1"/>
                          </pic:cNvPicPr>
                        </pic:nvPicPr>
                        <pic:blipFill>
                          <a:blip r:embed="rId27"/>
                          <a:srcRect t="3422"/>
                          <a:stretch>
                            <a:fillRect/>
                          </a:stretch>
                        </pic:blipFill>
                        <pic:spPr>
                          <a:xfrm>
                            <a:off x="0" y="0"/>
                            <a:ext cx="5102501" cy="8764438"/>
                          </a:xfrm>
                          <a:prstGeom prst="rect">
                            <a:avLst/>
                          </a:prstGeom>
                        </pic:spPr>
                      </pic:pic>
                    </a:graphicData>
                  </a:graphic>
                </wp:inline>
              </w:drawing>
            </w:r>
          </w:p>
          <w:p>
            <w:pPr>
              <w:widowControl/>
              <w:jc w:val="center"/>
              <w:rPr>
                <w:rFonts w:ascii="宋体" w:hAnsi="宋体" w:cs="宋体"/>
                <w:kern w:val="0"/>
                <w:sz w:val="24"/>
              </w:rPr>
            </w:pPr>
            <w:r>
              <w:rPr>
                <w:rFonts w:hint="eastAsia" w:ascii="宋体" w:hAnsi="宋体" w:cs="宋体"/>
                <w:kern w:val="0"/>
                <w:sz w:val="24"/>
              </w:rPr>
              <w:drawing>
                <wp:inline distT="0" distB="0" distL="0" distR="0">
                  <wp:extent cx="5102225" cy="8470900"/>
                  <wp:effectExtent l="19050" t="0" r="2899" b="0"/>
                  <wp:docPr id="16" name="图片 1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jpg"/>
                          <pic:cNvPicPr>
                            <a:picLocks noChangeAspect="1"/>
                          </pic:cNvPicPr>
                        </pic:nvPicPr>
                        <pic:blipFill>
                          <a:blip r:embed="rId28"/>
                          <a:srcRect t="6654"/>
                          <a:stretch>
                            <a:fillRect/>
                          </a:stretch>
                        </pic:blipFill>
                        <pic:spPr>
                          <a:xfrm>
                            <a:off x="0" y="0"/>
                            <a:ext cx="5102501" cy="8471140"/>
                          </a:xfrm>
                          <a:prstGeom prst="rect">
                            <a:avLst/>
                          </a:prstGeom>
                        </pic:spPr>
                      </pic:pic>
                    </a:graphicData>
                  </a:graphic>
                </wp:inline>
              </w:drawing>
            </w:r>
          </w:p>
          <w:p>
            <w:pPr>
              <w:spacing w:line="360" w:lineRule="auto"/>
              <w:ind w:firstLine="482" w:firstLineChars="200"/>
              <w:rPr>
                <w:rFonts w:eastAsiaTheme="minorEastAsia"/>
                <w:b/>
                <w:bCs/>
                <w:sz w:val="24"/>
              </w:rPr>
            </w:pPr>
          </w:p>
          <w:p>
            <w:pPr>
              <w:spacing w:line="360" w:lineRule="auto"/>
              <w:rPr>
                <w:rFonts w:eastAsiaTheme="minorEastAsia"/>
                <w:b/>
                <w:bCs/>
                <w:sz w:val="24"/>
              </w:rPr>
            </w:pPr>
            <w:r>
              <w:rPr>
                <w:rFonts w:eastAsiaTheme="minorEastAsia"/>
                <w:b/>
                <w:bCs/>
                <w:sz w:val="24"/>
              </w:rPr>
              <w:t>环评批复文件及执行情况</w:t>
            </w:r>
          </w:p>
          <w:p>
            <w:pPr>
              <w:spacing w:line="360" w:lineRule="auto"/>
              <w:ind w:firstLine="482" w:firstLineChars="200"/>
              <w:jc w:val="center"/>
              <w:rPr>
                <w:rFonts w:eastAsiaTheme="minorEastAsia"/>
                <w:b/>
                <w:bCs/>
                <w:kern w:val="44"/>
                <w:sz w:val="44"/>
                <w:szCs w:val="44"/>
              </w:rPr>
            </w:pPr>
            <w:r>
              <w:rPr>
                <w:rFonts w:eastAsiaTheme="minorEastAsia"/>
                <w:b/>
                <w:bCs/>
                <w:sz w:val="24"/>
              </w:rPr>
              <w:t>表5-1  环评报告表批复执行情况</w:t>
            </w:r>
          </w:p>
          <w:tbl>
            <w:tblPr>
              <w:tblStyle w:val="18"/>
              <w:tblW w:w="886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4"/>
              <w:gridCol w:w="4252"/>
              <w:gridCol w:w="4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564" w:type="dxa"/>
                  <w:vAlign w:val="center"/>
                </w:tcPr>
                <w:p>
                  <w:pPr>
                    <w:widowControl/>
                    <w:jc w:val="center"/>
                    <w:rPr>
                      <w:rFonts w:eastAsiaTheme="minorEastAsia"/>
                      <w:b/>
                      <w:szCs w:val="21"/>
                    </w:rPr>
                  </w:pPr>
                  <w:r>
                    <w:rPr>
                      <w:rFonts w:eastAsiaTheme="minorEastAsia"/>
                      <w:b/>
                      <w:szCs w:val="21"/>
                    </w:rPr>
                    <w:t>序号</w:t>
                  </w:r>
                </w:p>
              </w:tc>
              <w:tc>
                <w:tcPr>
                  <w:tcW w:w="4252" w:type="dxa"/>
                  <w:vAlign w:val="center"/>
                </w:tcPr>
                <w:p>
                  <w:pPr>
                    <w:widowControl/>
                    <w:ind w:firstLine="422" w:firstLineChars="200"/>
                    <w:jc w:val="center"/>
                    <w:rPr>
                      <w:rFonts w:eastAsiaTheme="minorEastAsia"/>
                      <w:b/>
                      <w:szCs w:val="21"/>
                    </w:rPr>
                  </w:pPr>
                  <w:r>
                    <w:rPr>
                      <w:rFonts w:eastAsiaTheme="minorEastAsia"/>
                      <w:b/>
                      <w:szCs w:val="21"/>
                    </w:rPr>
                    <w:t>检查内容</w:t>
                  </w:r>
                </w:p>
              </w:tc>
              <w:tc>
                <w:tcPr>
                  <w:tcW w:w="4050" w:type="dxa"/>
                  <w:vAlign w:val="center"/>
                </w:tcPr>
                <w:p>
                  <w:pPr>
                    <w:widowControl/>
                    <w:ind w:firstLine="422" w:firstLineChars="200"/>
                    <w:jc w:val="center"/>
                    <w:rPr>
                      <w:rFonts w:eastAsiaTheme="minorEastAsia"/>
                      <w:b/>
                      <w:szCs w:val="21"/>
                    </w:rPr>
                  </w:pPr>
                  <w:r>
                    <w:rPr>
                      <w:rFonts w:eastAsiaTheme="minorEastAsia"/>
                      <w:b/>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1</w:t>
                  </w:r>
                </w:p>
              </w:tc>
              <w:tc>
                <w:tcPr>
                  <w:tcW w:w="4252" w:type="dxa"/>
                  <w:vAlign w:val="center"/>
                </w:tcPr>
                <w:p>
                  <w:pPr>
                    <w:ind w:firstLine="420" w:firstLineChars="200"/>
                    <w:jc w:val="left"/>
                    <w:rPr>
                      <w:rFonts w:eastAsiaTheme="minorEastAsia"/>
                      <w:bCs/>
                      <w:szCs w:val="21"/>
                    </w:rPr>
                  </w:pPr>
                  <w:r>
                    <w:rPr>
                      <w:rFonts w:eastAsiaTheme="minorEastAsia"/>
                      <w:bCs/>
                      <w:szCs w:val="21"/>
                    </w:rPr>
                    <w:t>全过程贯彻循环经济理念和清洁生产原则，持续加强生产管理和环境管理，从源头减少污染物产生量、排放量。</w:t>
                  </w:r>
                </w:p>
              </w:tc>
              <w:tc>
                <w:tcPr>
                  <w:tcW w:w="4050" w:type="dxa"/>
                  <w:vAlign w:val="center"/>
                </w:tcPr>
                <w:p>
                  <w:pPr>
                    <w:ind w:firstLine="420" w:firstLineChars="200"/>
                    <w:jc w:val="left"/>
                    <w:rPr>
                      <w:rFonts w:eastAsiaTheme="minorEastAsia"/>
                      <w:bCs/>
                      <w:kern w:val="24"/>
                      <w:szCs w:val="21"/>
                    </w:rPr>
                  </w:pPr>
                  <w:r>
                    <w:rPr>
                      <w:rFonts w:eastAsiaTheme="minorEastAsia"/>
                      <w:bCs/>
                      <w:kern w:val="24"/>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2</w:t>
                  </w:r>
                </w:p>
              </w:tc>
              <w:tc>
                <w:tcPr>
                  <w:tcW w:w="4252" w:type="dxa"/>
                  <w:vAlign w:val="center"/>
                </w:tcPr>
                <w:p>
                  <w:pPr>
                    <w:ind w:firstLine="420" w:firstLineChars="200"/>
                    <w:jc w:val="left"/>
                    <w:rPr>
                      <w:rFonts w:eastAsiaTheme="minorEastAsia"/>
                      <w:bCs/>
                      <w:szCs w:val="21"/>
                    </w:rPr>
                  </w:pPr>
                  <w:r>
                    <w:rPr>
                      <w:rFonts w:eastAsiaTheme="minorEastAsia"/>
                      <w:bCs/>
                      <w:szCs w:val="21"/>
                    </w:rPr>
                    <w:t>厂区实行“雨污分流、分类处理”。生产过程的切割废水、研磨废水与生活污水经预处理达到接管标准后进常州市江边污水处理厂集中处理。</w:t>
                  </w:r>
                </w:p>
              </w:tc>
              <w:tc>
                <w:tcPr>
                  <w:tcW w:w="4050" w:type="dxa"/>
                  <w:vAlign w:val="center"/>
                </w:tcPr>
                <w:p>
                  <w:pPr>
                    <w:ind w:firstLine="420" w:firstLineChars="200"/>
                    <w:jc w:val="left"/>
                    <w:rPr>
                      <w:rFonts w:eastAsiaTheme="minorEastAsia"/>
                      <w:bCs/>
                      <w:kern w:val="24"/>
                      <w:szCs w:val="21"/>
                    </w:rPr>
                  </w:pPr>
                  <w:r>
                    <w:rPr>
                      <w:rFonts w:eastAsiaTheme="minorEastAsia"/>
                      <w:bCs/>
                      <w:kern w:val="24"/>
                      <w:szCs w:val="21"/>
                    </w:rPr>
                    <w:t>监测期间，污水总排口中化学需氧量、悬浮物</w:t>
                  </w:r>
                  <w:r>
                    <w:rPr>
                      <w:rFonts w:hint="eastAsia" w:eastAsiaTheme="minorEastAsia"/>
                      <w:bCs/>
                      <w:kern w:val="24"/>
                      <w:szCs w:val="21"/>
                    </w:rPr>
                    <w:t>、</w:t>
                  </w:r>
                  <w:r>
                    <w:rPr>
                      <w:rFonts w:eastAsiaTheme="minorEastAsia"/>
                      <w:bCs/>
                      <w:kern w:val="24"/>
                      <w:szCs w:val="21"/>
                    </w:rPr>
                    <w:t>氨氮、总磷、</w:t>
                  </w:r>
                  <w:r>
                    <w:rPr>
                      <w:rFonts w:hint="eastAsia" w:eastAsiaTheme="minorEastAsia"/>
                      <w:bCs/>
                      <w:kern w:val="24"/>
                      <w:szCs w:val="21"/>
                    </w:rPr>
                    <w:t>石油类、</w:t>
                  </w:r>
                  <w:r>
                    <w:rPr>
                      <w:rFonts w:eastAsiaTheme="minorEastAsia"/>
                      <w:bCs/>
                      <w:kern w:val="24"/>
                      <w:szCs w:val="21"/>
                    </w:rPr>
                    <w:t>动植物油类</w:t>
                  </w:r>
                  <w:r>
                    <w:rPr>
                      <w:rFonts w:hint="eastAsia" w:eastAsiaTheme="minorEastAsia"/>
                      <w:bCs/>
                      <w:kern w:val="24"/>
                      <w:szCs w:val="21"/>
                    </w:rPr>
                    <w:t>日均</w:t>
                  </w:r>
                  <w:r>
                    <w:rPr>
                      <w:rFonts w:eastAsiaTheme="minorEastAsia"/>
                      <w:bCs/>
                      <w:kern w:val="24"/>
                      <w:szCs w:val="21"/>
                    </w:rPr>
                    <w:t>排放浓度及pH值《污水排入城镇下水道水质标准》（GB/T31962-2015）表1 B等级标准。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3</w:t>
                  </w:r>
                </w:p>
              </w:tc>
              <w:tc>
                <w:tcPr>
                  <w:tcW w:w="4252" w:type="dxa"/>
                  <w:vAlign w:val="center"/>
                </w:tcPr>
                <w:p>
                  <w:pPr>
                    <w:ind w:firstLine="420" w:firstLineChars="200"/>
                    <w:jc w:val="left"/>
                    <w:rPr>
                      <w:rFonts w:eastAsiaTheme="minorEastAsia"/>
                      <w:bCs/>
                      <w:szCs w:val="21"/>
                    </w:rPr>
                  </w:pPr>
                  <w:r>
                    <w:rPr>
                      <w:rFonts w:eastAsiaTheme="minorEastAsia"/>
                      <w:bCs/>
                      <w:szCs w:val="21"/>
                    </w:rPr>
                    <w:t>落实《报告表》提出的各项废气防治措施，确保各</w:t>
                  </w:r>
                  <w:r>
                    <w:rPr>
                      <w:rFonts w:hint="eastAsia" w:eastAsiaTheme="minorEastAsia"/>
                      <w:bCs/>
                      <w:szCs w:val="21"/>
                    </w:rPr>
                    <w:t>类</w:t>
                  </w:r>
                  <w:r>
                    <w:rPr>
                      <w:rFonts w:eastAsiaTheme="minorEastAsia"/>
                      <w:bCs/>
                      <w:szCs w:val="21"/>
                    </w:rPr>
                    <w:t>废气达标排放，废气排放执行《大气污染物综合排放标准》(</w:t>
                  </w:r>
                  <w:r>
                    <w:rPr>
                      <w:rFonts w:hint="eastAsia" w:eastAsiaTheme="minorEastAsia"/>
                      <w:bCs/>
                      <w:szCs w:val="21"/>
                    </w:rPr>
                    <w:t>G</w:t>
                  </w:r>
                  <w:r>
                    <w:rPr>
                      <w:rFonts w:eastAsiaTheme="minorEastAsia"/>
                      <w:bCs/>
                      <w:szCs w:val="21"/>
                    </w:rPr>
                    <w:t>B8978-1996)表2中排放标准</w:t>
                  </w:r>
                  <w:r>
                    <w:rPr>
                      <w:rFonts w:hint="eastAsia" w:eastAsiaTheme="minorEastAsia"/>
                      <w:bCs/>
                      <w:szCs w:val="21"/>
                    </w:rPr>
                    <w:t>。</w:t>
                  </w:r>
                </w:p>
              </w:tc>
              <w:tc>
                <w:tcPr>
                  <w:tcW w:w="4050" w:type="dxa"/>
                  <w:vAlign w:val="center"/>
                </w:tcPr>
                <w:p>
                  <w:pPr>
                    <w:ind w:firstLine="420" w:firstLineChars="200"/>
                    <w:jc w:val="left"/>
                    <w:rPr>
                      <w:rFonts w:eastAsiaTheme="minorEastAsia"/>
                      <w:bCs/>
                      <w:kern w:val="24"/>
                      <w:szCs w:val="21"/>
                    </w:rPr>
                  </w:pPr>
                  <w:r>
                    <w:rPr>
                      <w:rFonts w:hint="eastAsia" w:eastAsiaTheme="minorEastAsia"/>
                      <w:bCs/>
                      <w:kern w:val="24"/>
                      <w:szCs w:val="21"/>
                    </w:rPr>
                    <w:t>监测期间，回火、退火工序排气筒及脱脂清洗、淬火工序排气筒</w:t>
                  </w:r>
                  <w:r>
                    <w:rPr>
                      <w:rFonts w:eastAsiaTheme="minorEastAsia"/>
                      <w:bCs/>
                      <w:kern w:val="24"/>
                      <w:szCs w:val="21"/>
                    </w:rPr>
                    <w:t>出口中非甲烷总烃排放浓度及排放速率</w:t>
                  </w:r>
                  <w:r>
                    <w:rPr>
                      <w:rFonts w:hint="eastAsia" w:eastAsiaTheme="minorEastAsia"/>
                      <w:bCs/>
                      <w:kern w:val="24"/>
                      <w:szCs w:val="21"/>
                    </w:rPr>
                    <w:t>满足</w:t>
                  </w:r>
                  <w:r>
                    <w:rPr>
                      <w:rFonts w:eastAsiaTheme="minorEastAsia"/>
                      <w:bCs/>
                      <w:kern w:val="24"/>
                      <w:szCs w:val="21"/>
                    </w:rPr>
                    <w:t>《大气污染物综合排放标准》（GB16297-1996）表2二级标准。</w:t>
                  </w:r>
                </w:p>
                <w:p>
                  <w:pPr>
                    <w:ind w:firstLine="420" w:firstLineChars="200"/>
                    <w:jc w:val="left"/>
                    <w:rPr>
                      <w:rFonts w:eastAsiaTheme="minorEastAsia"/>
                      <w:bCs/>
                      <w:kern w:val="24"/>
                      <w:szCs w:val="21"/>
                    </w:rPr>
                  </w:pPr>
                  <w:r>
                    <w:rPr>
                      <w:rFonts w:eastAsiaTheme="minorEastAsia"/>
                      <w:bCs/>
                      <w:kern w:val="24"/>
                      <w:szCs w:val="21"/>
                    </w:rPr>
                    <w:t>监测期间，厂界无组织废气监控点位的非甲烷总烃浓度满足《大气污染物综合排放标准》（GB16297-1996）表2中无组织排放浓度限值要求。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4</w:t>
                  </w:r>
                </w:p>
              </w:tc>
              <w:tc>
                <w:tcPr>
                  <w:tcW w:w="4252" w:type="dxa"/>
                  <w:vAlign w:val="center"/>
                </w:tcPr>
                <w:p>
                  <w:pPr>
                    <w:ind w:firstLine="420" w:firstLineChars="200"/>
                    <w:jc w:val="left"/>
                    <w:rPr>
                      <w:rFonts w:eastAsiaTheme="minorEastAsia"/>
                      <w:bCs/>
                      <w:szCs w:val="21"/>
                    </w:rPr>
                  </w:pPr>
                  <w:r>
                    <w:rPr>
                      <w:rFonts w:eastAsiaTheme="minorEastAsia"/>
                      <w:bCs/>
                      <w:szCs w:val="21"/>
                    </w:rPr>
                    <w:t>优选低噪声设备，合理布局生产设备，高噪声设备采取有效的减震</w:t>
                  </w:r>
                  <w:r>
                    <w:rPr>
                      <w:rFonts w:hint="eastAsia" w:eastAsiaTheme="minorEastAsia"/>
                      <w:bCs/>
                      <w:szCs w:val="21"/>
                    </w:rPr>
                    <w:t>、</w:t>
                  </w:r>
                  <w:r>
                    <w:rPr>
                      <w:rFonts w:eastAsiaTheme="minorEastAsia"/>
                      <w:bCs/>
                      <w:szCs w:val="21"/>
                    </w:rPr>
                    <w:t>隔声</w:t>
                  </w:r>
                  <w:r>
                    <w:rPr>
                      <w:rFonts w:hint="eastAsia" w:eastAsiaTheme="minorEastAsia"/>
                      <w:bCs/>
                      <w:szCs w:val="21"/>
                    </w:rPr>
                    <w:t>、</w:t>
                  </w:r>
                  <w:r>
                    <w:rPr>
                      <w:rFonts w:eastAsiaTheme="minorEastAsia"/>
                      <w:bCs/>
                      <w:szCs w:val="21"/>
                    </w:rPr>
                    <w:t>消声措施</w:t>
                  </w:r>
                  <w:r>
                    <w:rPr>
                      <w:rFonts w:hint="eastAsia" w:eastAsiaTheme="minorEastAsia"/>
                      <w:bCs/>
                      <w:szCs w:val="21"/>
                    </w:rPr>
                    <w:t>，</w:t>
                  </w:r>
                  <w:r>
                    <w:rPr>
                      <w:rFonts w:eastAsiaTheme="minorEastAsia"/>
                      <w:bCs/>
                      <w:szCs w:val="21"/>
                    </w:rPr>
                    <w:t>厂界噪声须符合《工业企业厂界环境噪声排放标准》(GB12348</w:t>
                  </w:r>
                  <w:r>
                    <w:rPr>
                      <w:rFonts w:hint="eastAsia" w:eastAsiaTheme="minorEastAsia"/>
                      <w:bCs/>
                      <w:szCs w:val="21"/>
                    </w:rPr>
                    <w:t>-</w:t>
                  </w:r>
                  <w:r>
                    <w:rPr>
                      <w:rFonts w:eastAsiaTheme="minorEastAsia"/>
                      <w:bCs/>
                      <w:szCs w:val="21"/>
                    </w:rPr>
                    <w:t>2008)中3类标准。</w:t>
                  </w:r>
                </w:p>
              </w:tc>
              <w:tc>
                <w:tcPr>
                  <w:tcW w:w="4050" w:type="dxa"/>
                  <w:vAlign w:val="center"/>
                </w:tcPr>
                <w:p>
                  <w:pPr>
                    <w:ind w:firstLine="420" w:firstLineChars="200"/>
                    <w:jc w:val="left"/>
                    <w:rPr>
                      <w:rFonts w:eastAsiaTheme="minorEastAsia"/>
                      <w:bCs/>
                      <w:kern w:val="24"/>
                      <w:szCs w:val="21"/>
                    </w:rPr>
                  </w:pPr>
                  <w:r>
                    <w:rPr>
                      <w:rFonts w:eastAsiaTheme="minorEastAsia"/>
                      <w:bCs/>
                      <w:kern w:val="24"/>
                      <w:szCs w:val="21"/>
                    </w:rPr>
                    <w:t>监测期间，项目厂界噪声监测点昼</w:t>
                  </w:r>
                  <w:r>
                    <w:rPr>
                      <w:rFonts w:hint="eastAsia" w:eastAsiaTheme="minorEastAsia"/>
                      <w:bCs/>
                      <w:kern w:val="24"/>
                      <w:szCs w:val="21"/>
                    </w:rPr>
                    <w:t>、</w:t>
                  </w:r>
                  <w:r>
                    <w:rPr>
                      <w:rFonts w:eastAsiaTheme="minorEastAsia"/>
                      <w:bCs/>
                      <w:kern w:val="24"/>
                      <w:szCs w:val="21"/>
                    </w:rPr>
                    <w:t>夜间等效声级满足《工业企业厂界环境噪声排放标准》（GB12348-2008）</w:t>
                  </w:r>
                  <w:r>
                    <w:rPr>
                      <w:rFonts w:hint="eastAsia" w:eastAsiaTheme="minorEastAsia"/>
                      <w:bCs/>
                      <w:kern w:val="24"/>
                      <w:szCs w:val="21"/>
                    </w:rPr>
                    <w:t>3</w:t>
                  </w:r>
                  <w:r>
                    <w:rPr>
                      <w:rFonts w:eastAsiaTheme="minorEastAsia"/>
                      <w:bCs/>
                      <w:kern w:val="24"/>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5</w:t>
                  </w:r>
                </w:p>
              </w:tc>
              <w:tc>
                <w:tcPr>
                  <w:tcW w:w="4252" w:type="dxa"/>
                  <w:vAlign w:val="center"/>
                </w:tcPr>
                <w:p>
                  <w:pPr>
                    <w:ind w:firstLine="420" w:firstLineChars="200"/>
                    <w:jc w:val="left"/>
                    <w:rPr>
                      <w:rFonts w:eastAsiaTheme="minorEastAsia"/>
                      <w:szCs w:val="21"/>
                    </w:rPr>
                  </w:pPr>
                  <w:r>
                    <w:rPr>
                      <w:rFonts w:eastAsiaTheme="minorEastAsia"/>
                      <w:szCs w:val="21"/>
                    </w:rPr>
                    <w:t>按“资源化、减量化、无害化”原则和环保管理要求，落实各类固废特别危险废物的收集、处置和综合利用措施，</w:t>
                  </w:r>
                  <w:r>
                    <w:rPr>
                      <w:rFonts w:hint="eastAsia" w:eastAsiaTheme="minorEastAsia"/>
                      <w:szCs w:val="21"/>
                    </w:rPr>
                    <w:t>实</w:t>
                  </w:r>
                  <w:r>
                    <w:rPr>
                      <w:rFonts w:eastAsiaTheme="minorEastAsia"/>
                      <w:szCs w:val="21"/>
                    </w:rPr>
                    <w:t>现固体废物全部综合利用或安全处置</w:t>
                  </w:r>
                  <w:r>
                    <w:rPr>
                      <w:rFonts w:hint="eastAsia" w:eastAsiaTheme="minorEastAsia"/>
                      <w:szCs w:val="21"/>
                    </w:rPr>
                    <w:t>。</w:t>
                  </w:r>
                  <w:r>
                    <w:rPr>
                      <w:rFonts w:eastAsiaTheme="minorEastAsia"/>
                      <w:szCs w:val="21"/>
                    </w:rPr>
                    <w:t>危险废物须委托有资质单位处置，其处置应按照当前危险废物环保管理规定执行，按《危险废物贮存污染控制标准》(CB18597-2001)严格做好危废堆放场所防扬散、防流失、防渗漏措施。按危废转移联单管理制度要求，转移过程须按规定办理相关审批手续，经批准同意后方可实施转移</w:t>
                  </w:r>
                  <w:r>
                    <w:rPr>
                      <w:rFonts w:hint="eastAsia" w:eastAsiaTheme="minorEastAsia"/>
                      <w:szCs w:val="21"/>
                    </w:rPr>
                    <w:t>。</w:t>
                  </w:r>
                </w:p>
              </w:tc>
              <w:tc>
                <w:tcPr>
                  <w:tcW w:w="4050" w:type="dxa"/>
                  <w:vAlign w:val="center"/>
                </w:tcPr>
                <w:p>
                  <w:pPr>
                    <w:ind w:firstLine="420" w:firstLineChars="200"/>
                    <w:jc w:val="left"/>
                    <w:rPr>
                      <w:rFonts w:eastAsiaTheme="minorEastAsia"/>
                      <w:bCs/>
                      <w:szCs w:val="21"/>
                    </w:rPr>
                  </w:pPr>
                  <w:r>
                    <w:rPr>
                      <w:rFonts w:hint="eastAsia" w:eastAsiaTheme="minorEastAsia"/>
                      <w:bCs/>
                      <w:szCs w:val="21"/>
                    </w:rPr>
                    <w:t>本项目产生的废热媒体油、废真空泵油委托常州市锦云工业废弃物处理有限公司处置，过滤残渣、蒸馏残渣暂存于危废仓库，废活性炭暂未产生，企业承诺</w:t>
                  </w:r>
                  <w:r>
                    <w:rPr>
                      <w:rFonts w:eastAsiaTheme="minorEastAsia"/>
                      <w:bCs/>
                      <w:szCs w:val="21"/>
                    </w:rPr>
                    <w:t>及时签订危险废物处置协议，在找到合适的固废处置单位前于厂区内规范贮存。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6</w:t>
                  </w:r>
                </w:p>
              </w:tc>
              <w:tc>
                <w:tcPr>
                  <w:tcW w:w="4252" w:type="dxa"/>
                  <w:vAlign w:val="center"/>
                </w:tcPr>
                <w:p>
                  <w:pPr>
                    <w:ind w:firstLine="420" w:firstLineChars="200"/>
                    <w:jc w:val="left"/>
                    <w:rPr>
                      <w:rFonts w:eastAsiaTheme="minorEastAsia"/>
                      <w:szCs w:val="21"/>
                    </w:rPr>
                  </w:pPr>
                  <w:r>
                    <w:rPr>
                      <w:rFonts w:eastAsiaTheme="minorEastAsia"/>
                      <w:szCs w:val="21"/>
                    </w:rPr>
                    <w:t>企业应认真做好各项风险防范措施，完善各项管理制度和风险应急预案，生产过程应严格操作到位。</w:t>
                  </w:r>
                </w:p>
              </w:tc>
              <w:tc>
                <w:tcPr>
                  <w:tcW w:w="4050" w:type="dxa"/>
                  <w:vAlign w:val="center"/>
                </w:tcPr>
                <w:p>
                  <w:pPr>
                    <w:ind w:firstLine="420" w:firstLineChars="200"/>
                    <w:jc w:val="left"/>
                    <w:rPr>
                      <w:rFonts w:eastAsiaTheme="minorEastAsia"/>
                      <w:bCs/>
                      <w:szCs w:val="21"/>
                    </w:rPr>
                  </w:pPr>
                  <w:r>
                    <w:rPr>
                      <w:rFonts w:eastAsiaTheme="minorEastAsia"/>
                      <w:bCs/>
                      <w:szCs w:val="21"/>
                    </w:rPr>
                    <w:t>积极落实各项管理制度</w:t>
                  </w:r>
                  <w:r>
                    <w:rPr>
                      <w:rFonts w:hint="eastAsia" w:eastAsiaTheme="minorEastAsia"/>
                      <w:bCs/>
                      <w:szCs w:val="21"/>
                    </w:rPr>
                    <w:t>，计划</w:t>
                  </w:r>
                  <w:r>
                    <w:rPr>
                      <w:rFonts w:eastAsiaTheme="minorEastAsia"/>
                      <w:bCs/>
                      <w:szCs w:val="21"/>
                    </w:rPr>
                    <w:t>编制风险应急预案</w:t>
                  </w:r>
                  <w:r>
                    <w:rPr>
                      <w:rFonts w:hint="eastAsia" w:eastAsiaTheme="minorEastAsia"/>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7</w:t>
                  </w:r>
                </w:p>
              </w:tc>
              <w:tc>
                <w:tcPr>
                  <w:tcW w:w="4252" w:type="dxa"/>
                  <w:vAlign w:val="center"/>
                </w:tcPr>
                <w:p>
                  <w:pPr>
                    <w:ind w:firstLine="420" w:firstLineChars="200"/>
                    <w:jc w:val="left"/>
                    <w:rPr>
                      <w:rFonts w:eastAsiaTheme="minorEastAsia"/>
                      <w:szCs w:val="21"/>
                    </w:rPr>
                  </w:pPr>
                  <w:r>
                    <w:rPr>
                      <w:rFonts w:eastAsiaTheme="minorEastAsia"/>
                      <w:szCs w:val="21"/>
                    </w:rPr>
                    <w:t>项目以生产车间边界外扩50米设置为卫生防护距离，目前该范围内无居民等敏感点。</w:t>
                  </w:r>
                </w:p>
              </w:tc>
              <w:tc>
                <w:tcPr>
                  <w:tcW w:w="4050" w:type="dxa"/>
                  <w:vAlign w:val="center"/>
                </w:tcPr>
                <w:p>
                  <w:pPr>
                    <w:ind w:firstLine="420" w:firstLineChars="200"/>
                    <w:jc w:val="left"/>
                    <w:rPr>
                      <w:rFonts w:eastAsiaTheme="minorEastAsia"/>
                      <w:bCs/>
                      <w:szCs w:val="21"/>
                    </w:rPr>
                  </w:pPr>
                  <w:r>
                    <w:rPr>
                      <w:rFonts w:eastAsiaTheme="minorEastAsia"/>
                      <w:szCs w:val="21"/>
                    </w:rPr>
                    <w:t>项目以生产车间边界外扩50米卫生防护距离内无居民等敏感点。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eastAsiaTheme="minorEastAsia"/>
                      <w:bCs/>
                      <w:kern w:val="24"/>
                      <w:szCs w:val="21"/>
                    </w:rPr>
                    <w:t>8</w:t>
                  </w:r>
                </w:p>
              </w:tc>
              <w:tc>
                <w:tcPr>
                  <w:tcW w:w="4252" w:type="dxa"/>
                  <w:vAlign w:val="center"/>
                </w:tcPr>
                <w:p>
                  <w:pPr>
                    <w:ind w:firstLine="420" w:firstLineChars="200"/>
                    <w:jc w:val="left"/>
                    <w:rPr>
                      <w:rFonts w:eastAsiaTheme="minorEastAsia"/>
                      <w:szCs w:val="21"/>
                    </w:rPr>
                  </w:pPr>
                  <w:r>
                    <w:rPr>
                      <w:rFonts w:eastAsiaTheme="minorEastAsia"/>
                      <w:szCs w:val="21"/>
                    </w:rPr>
                    <w:t>按《江苏省排污口设置及规范化整治管理办法》(苏环控[1997]122号)的要求规范化设置各类排污口和标识。</w:t>
                  </w:r>
                </w:p>
              </w:tc>
              <w:tc>
                <w:tcPr>
                  <w:tcW w:w="4050" w:type="dxa"/>
                  <w:vAlign w:val="center"/>
                </w:tcPr>
                <w:p>
                  <w:pPr>
                    <w:ind w:firstLine="420" w:firstLineChars="200"/>
                    <w:jc w:val="left"/>
                    <w:rPr>
                      <w:rFonts w:eastAsiaTheme="minorEastAsia"/>
                      <w:bCs/>
                      <w:szCs w:val="21"/>
                    </w:rPr>
                  </w:pPr>
                  <w:r>
                    <w:rPr>
                      <w:rFonts w:eastAsiaTheme="minorEastAsia"/>
                      <w:bCs/>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4" w:type="dxa"/>
                  <w:vAlign w:val="center"/>
                </w:tcPr>
                <w:p>
                  <w:pPr>
                    <w:widowControl/>
                    <w:jc w:val="center"/>
                    <w:rPr>
                      <w:rFonts w:eastAsiaTheme="minorEastAsia"/>
                      <w:bCs/>
                      <w:kern w:val="24"/>
                      <w:szCs w:val="21"/>
                    </w:rPr>
                  </w:pPr>
                  <w:r>
                    <w:rPr>
                      <w:rFonts w:hint="eastAsia" w:eastAsiaTheme="minorEastAsia"/>
                      <w:bCs/>
                      <w:kern w:val="24"/>
                      <w:szCs w:val="21"/>
                    </w:rPr>
                    <w:t>9</w:t>
                  </w:r>
                </w:p>
              </w:tc>
              <w:tc>
                <w:tcPr>
                  <w:tcW w:w="4252" w:type="dxa"/>
                  <w:vAlign w:val="center"/>
                </w:tcPr>
                <w:p>
                  <w:pPr>
                    <w:ind w:firstLine="420" w:firstLineChars="200"/>
                    <w:jc w:val="left"/>
                    <w:rPr>
                      <w:rFonts w:eastAsiaTheme="minorEastAsia"/>
                      <w:szCs w:val="21"/>
                    </w:rPr>
                  </w:pPr>
                  <w:r>
                    <w:rPr>
                      <w:rFonts w:eastAsiaTheme="minorEastAsia"/>
                      <w:szCs w:val="21"/>
                    </w:rPr>
                    <w:t>项目污染物排放总量核定(接管量，单位t/a)如下</w:t>
                  </w:r>
                  <w:r>
                    <w:rPr>
                      <w:rFonts w:asciiTheme="minorEastAsia" w:hAnsiTheme="minorEastAsia" w:eastAsiaTheme="minorEastAsia"/>
                      <w:szCs w:val="21"/>
                    </w:rPr>
                    <w:t>：</w:t>
                  </w:r>
                  <w:r>
                    <w:rPr>
                      <w:rFonts w:eastAsiaTheme="minorEastAsia"/>
                      <w:szCs w:val="21"/>
                    </w:rPr>
                    <w:t>(一)水污染物：污水量433、COD</w:t>
                  </w:r>
                  <w:r>
                    <w:rPr>
                      <w:rFonts w:hint="eastAsia" w:eastAsiaTheme="minorEastAsia"/>
                      <w:szCs w:val="21"/>
                    </w:rPr>
                    <w:t xml:space="preserve"> 0.1703</w:t>
                  </w:r>
                  <w:r>
                    <w:rPr>
                      <w:rFonts w:eastAsiaTheme="minorEastAsia"/>
                      <w:szCs w:val="21"/>
                    </w:rPr>
                    <w:t>、SS</w:t>
                  </w:r>
                  <w:r>
                    <w:rPr>
                      <w:rFonts w:hint="eastAsia" w:eastAsiaTheme="minorEastAsia"/>
                      <w:szCs w:val="21"/>
                    </w:rPr>
                    <w:t xml:space="preserve"> 0.1303</w:t>
                  </w:r>
                  <w:r>
                    <w:rPr>
                      <w:rFonts w:eastAsiaTheme="minorEastAsia"/>
                      <w:szCs w:val="21"/>
                    </w:rPr>
                    <w:t>、NH</w:t>
                  </w:r>
                  <w:r>
                    <w:rPr>
                      <w:rFonts w:eastAsiaTheme="minorEastAsia"/>
                      <w:szCs w:val="21"/>
                      <w:vertAlign w:val="subscript"/>
                    </w:rPr>
                    <w:t>3</w:t>
                  </w:r>
                  <w:r>
                    <w:rPr>
                      <w:rFonts w:eastAsiaTheme="minorEastAsia"/>
                      <w:szCs w:val="21"/>
                    </w:rPr>
                    <w:t>-N</w:t>
                  </w:r>
                  <w:r>
                    <w:rPr>
                      <w:rFonts w:hint="eastAsia" w:eastAsiaTheme="minorEastAsia"/>
                      <w:szCs w:val="21"/>
                    </w:rPr>
                    <w:t xml:space="preserve"> 0.011</w:t>
                  </w:r>
                  <w:r>
                    <w:rPr>
                      <w:rFonts w:eastAsiaTheme="minorEastAsia"/>
                      <w:szCs w:val="21"/>
                    </w:rPr>
                    <w:t>、TP</w:t>
                  </w:r>
                  <w:r>
                    <w:rPr>
                      <w:rFonts w:hint="eastAsia" w:eastAsiaTheme="minorEastAsia"/>
                      <w:szCs w:val="21"/>
                    </w:rPr>
                    <w:t xml:space="preserve"> 0.0022</w:t>
                  </w:r>
                  <w:r>
                    <w:rPr>
                      <w:rFonts w:eastAsiaTheme="minorEastAsia"/>
                      <w:szCs w:val="21"/>
                    </w:rPr>
                    <w:t>、动植物油0.0043、石油类0.0001</w:t>
                  </w:r>
                  <w:r>
                    <w:rPr>
                      <w:rFonts w:hint="eastAsia" w:eastAsiaTheme="minorEastAsia"/>
                      <w:szCs w:val="21"/>
                    </w:rPr>
                    <w:t>。</w:t>
                  </w:r>
                  <w:r>
                    <w:rPr>
                      <w:rFonts w:eastAsiaTheme="minorEastAsia"/>
                      <w:szCs w:val="21"/>
                    </w:rPr>
                    <w:t>(二)固体废物：全部综合利用或安全处置。</w:t>
                  </w:r>
                </w:p>
              </w:tc>
              <w:tc>
                <w:tcPr>
                  <w:tcW w:w="4050" w:type="dxa"/>
                  <w:vAlign w:val="center"/>
                </w:tcPr>
                <w:p>
                  <w:pPr>
                    <w:ind w:firstLine="420" w:firstLineChars="200"/>
                    <w:jc w:val="left"/>
                    <w:rPr>
                      <w:rFonts w:eastAsiaTheme="minorEastAsia"/>
                      <w:bCs/>
                      <w:szCs w:val="21"/>
                    </w:rPr>
                  </w:pPr>
                  <w:r>
                    <w:rPr>
                      <w:rFonts w:eastAsiaTheme="minorEastAsia"/>
                      <w:bCs/>
                      <w:szCs w:val="21"/>
                    </w:rPr>
                    <w:t>本项目废水污染物总量满足环评/批要求</w:t>
                  </w:r>
                  <w:r>
                    <w:rPr>
                      <w:rFonts w:hint="eastAsia" w:eastAsiaTheme="minorEastAsia"/>
                      <w:bCs/>
                      <w:szCs w:val="21"/>
                    </w:rPr>
                    <w:t>具体见表8-5。</w:t>
                  </w:r>
                </w:p>
              </w:tc>
            </w:tr>
          </w:tbl>
          <w:p>
            <w:pPr>
              <w:spacing w:line="360" w:lineRule="auto"/>
              <w:ind w:firstLine="480" w:firstLineChars="200"/>
              <w:rPr>
                <w:rFonts w:eastAsiaTheme="minorEastAsia"/>
                <w:sz w:val="24"/>
              </w:rPr>
            </w:pPr>
          </w:p>
        </w:tc>
      </w:tr>
    </w:tbl>
    <w:p>
      <w:pPr>
        <w:outlineLvl w:val="0"/>
        <w:rPr>
          <w:sz w:val="24"/>
        </w:rPr>
      </w:pPr>
    </w:p>
    <w:p>
      <w:pPr>
        <w:outlineLvl w:val="0"/>
        <w:rPr>
          <w:sz w:val="24"/>
        </w:rPr>
      </w:pPr>
      <w:r>
        <w:rPr>
          <w:sz w:val="24"/>
        </w:rPr>
        <w:t>表六</w:t>
      </w:r>
    </w:p>
    <w:tbl>
      <w:tblPr>
        <w:tblStyle w:val="18"/>
        <w:tblW w:w="91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2" w:hRule="atLeast"/>
          <w:jc w:val="center"/>
        </w:trPr>
        <w:tc>
          <w:tcPr>
            <w:tcW w:w="9114" w:type="dxa"/>
          </w:tcPr>
          <w:p>
            <w:pPr>
              <w:spacing w:line="360" w:lineRule="auto"/>
              <w:rPr>
                <w:b/>
                <w:bCs/>
                <w:sz w:val="24"/>
              </w:rPr>
            </w:pPr>
            <w:r>
              <w:rPr>
                <w:b/>
                <w:bCs/>
                <w:sz w:val="24"/>
              </w:rPr>
              <w:t>验收监测质量保证及质量控制：</w:t>
            </w:r>
          </w:p>
          <w:p>
            <w:pPr>
              <w:spacing w:line="360" w:lineRule="auto"/>
              <w:rPr>
                <w:b/>
                <w:bCs/>
                <w:sz w:val="24"/>
              </w:rPr>
            </w:pPr>
            <w:r>
              <w:rPr>
                <w:b/>
                <w:bCs/>
                <w:sz w:val="24"/>
              </w:rPr>
              <w:t>1、验收监测的质量控制措施：</w:t>
            </w:r>
          </w:p>
          <w:p>
            <w:pPr>
              <w:spacing w:line="360" w:lineRule="auto"/>
              <w:ind w:firstLine="480" w:firstLineChars="200"/>
              <w:rPr>
                <w:sz w:val="24"/>
              </w:rPr>
            </w:pPr>
            <w:r>
              <w:rPr>
                <w:sz w:val="24"/>
              </w:rPr>
              <w:t>该项目竣工环境保护验收监测质量控制与质量保证按《建设项目竣工环境保护验收技术指南 污染影响类》（生态环境部 2018年5月15日）要求进行，监测全过程受公司《质量手册》及有关程序文件控制。</w:t>
            </w:r>
          </w:p>
          <w:p>
            <w:pPr>
              <w:spacing w:line="360" w:lineRule="auto"/>
              <w:ind w:firstLine="480" w:firstLineChars="200"/>
              <w:rPr>
                <w:sz w:val="24"/>
              </w:rPr>
            </w:pPr>
            <w:r>
              <w:rPr>
                <w:sz w:val="24"/>
              </w:rPr>
              <w:t>1、及时了解工况情况，保证监测过程中工况、负荷满足验收监测要求。</w:t>
            </w:r>
          </w:p>
          <w:p>
            <w:pPr>
              <w:spacing w:line="360" w:lineRule="auto"/>
              <w:ind w:firstLine="480" w:firstLineChars="200"/>
              <w:rPr>
                <w:sz w:val="24"/>
              </w:rPr>
            </w:pPr>
            <w:r>
              <w:rPr>
                <w:sz w:val="24"/>
              </w:rPr>
              <w:t>2、合理布设监测点位，保证各监测点位布置的科学性和可比性。</w:t>
            </w:r>
          </w:p>
          <w:p>
            <w:pPr>
              <w:spacing w:line="360" w:lineRule="auto"/>
              <w:ind w:firstLine="480" w:firstLineChars="200"/>
              <w:rPr>
                <w:sz w:val="24"/>
              </w:rPr>
            </w:pPr>
            <w:r>
              <w:rPr>
                <w:sz w:val="24"/>
              </w:rPr>
              <w:t>3、监测人员持证上岗，监测所用仪器都经过计量部门的检定并在有效期内使用。</w:t>
            </w:r>
          </w:p>
          <w:p>
            <w:pPr>
              <w:spacing w:line="360" w:lineRule="auto"/>
              <w:ind w:firstLine="480" w:firstLineChars="200"/>
              <w:rPr>
                <w:sz w:val="24"/>
              </w:rPr>
            </w:pPr>
            <w:r>
              <w:rPr>
                <w:sz w:val="24"/>
              </w:rPr>
              <w:t>4、实验室落实质量控制措施，保证验收监测分析结果的准确性、可靠性。</w:t>
            </w:r>
          </w:p>
          <w:p>
            <w:pPr>
              <w:spacing w:line="360" w:lineRule="auto"/>
              <w:ind w:firstLine="480" w:firstLineChars="200"/>
              <w:rPr>
                <w:sz w:val="24"/>
              </w:rPr>
            </w:pPr>
            <w:r>
              <w:rPr>
                <w:sz w:val="24"/>
              </w:rPr>
              <w:t>5、废水的采用、保存和分析按照《水和废水监测分析方法》（第四版）的要求进行。</w:t>
            </w:r>
          </w:p>
          <w:p>
            <w:pPr>
              <w:spacing w:line="360" w:lineRule="auto"/>
              <w:ind w:firstLine="480" w:firstLineChars="200"/>
              <w:rPr>
                <w:sz w:val="24"/>
              </w:rPr>
            </w:pPr>
            <w:r>
              <w:rPr>
                <w:sz w:val="24"/>
              </w:rPr>
              <w:t>6、气样的采集、运输、保存、实验室分析和数据计算的全过程按照《空气和废气监测分析方法》（第四版）的要求进行。</w:t>
            </w:r>
          </w:p>
          <w:p>
            <w:pPr>
              <w:spacing w:line="360" w:lineRule="auto"/>
              <w:ind w:firstLine="480" w:firstLineChars="200"/>
              <w:rPr>
                <w:sz w:val="24"/>
              </w:rPr>
            </w:pPr>
            <w:r>
              <w:rPr>
                <w:sz w:val="24"/>
              </w:rPr>
              <w:t>7、噪声监测仪在监测前、后均以标准声源进行校准，校准读数偏差不大于0.5分贝。</w:t>
            </w:r>
          </w:p>
          <w:p>
            <w:pPr>
              <w:spacing w:line="360" w:lineRule="auto"/>
              <w:ind w:firstLine="480" w:firstLineChars="200"/>
              <w:rPr>
                <w:sz w:val="24"/>
              </w:rPr>
            </w:pPr>
            <w:r>
              <w:rPr>
                <w:sz w:val="24"/>
              </w:rPr>
              <w:t>8、监测数据严格实行三级审核制度。</w:t>
            </w: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p>
          <w:p>
            <w:pPr>
              <w:adjustRightInd w:val="0"/>
              <w:snapToGrid w:val="0"/>
              <w:spacing w:beforeLines="50" w:line="360" w:lineRule="auto"/>
              <w:rPr>
                <w:b/>
                <w:bCs/>
                <w:sz w:val="24"/>
              </w:rPr>
            </w:pPr>
            <w:r>
              <w:rPr>
                <w:b/>
                <w:bCs/>
                <w:sz w:val="24"/>
              </w:rPr>
              <w:t>2、监测分析方法</w:t>
            </w:r>
          </w:p>
          <w:p>
            <w:pPr>
              <w:jc w:val="center"/>
              <w:rPr>
                <w:b/>
                <w:sz w:val="24"/>
              </w:rPr>
            </w:pPr>
            <w:r>
              <w:rPr>
                <w:b/>
                <w:sz w:val="24"/>
              </w:rPr>
              <w:t>表6-1  监测分析方法、方法来源及检出限一览表</w:t>
            </w:r>
          </w:p>
          <w:tbl>
            <w:tblPr>
              <w:tblStyle w:val="18"/>
              <w:tblW w:w="889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573"/>
              <w:gridCol w:w="1201"/>
              <w:gridCol w:w="1201"/>
              <w:gridCol w:w="3022"/>
              <w:gridCol w:w="1856"/>
              <w:gridCol w:w="10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blHeader/>
              </w:trPr>
              <w:tc>
                <w:tcPr>
                  <w:tcW w:w="573" w:type="dxa"/>
                  <w:tcBorders>
                    <w:tl2br w:val="nil"/>
                    <w:tr2bl w:val="nil"/>
                  </w:tcBorders>
                  <w:vAlign w:val="center"/>
                </w:tcPr>
                <w:p>
                  <w:pPr>
                    <w:jc w:val="center"/>
                    <w:rPr>
                      <w:b/>
                      <w:bCs/>
                      <w:szCs w:val="21"/>
                    </w:rPr>
                  </w:pPr>
                  <w:r>
                    <w:rPr>
                      <w:b/>
                      <w:bCs/>
                      <w:szCs w:val="21"/>
                    </w:rPr>
                    <w:t>序号</w:t>
                  </w:r>
                </w:p>
              </w:tc>
              <w:tc>
                <w:tcPr>
                  <w:tcW w:w="1201" w:type="dxa"/>
                  <w:tcBorders>
                    <w:tl2br w:val="nil"/>
                    <w:tr2bl w:val="nil"/>
                  </w:tcBorders>
                </w:tcPr>
                <w:p>
                  <w:pPr>
                    <w:jc w:val="center"/>
                    <w:rPr>
                      <w:b/>
                      <w:bCs/>
                      <w:szCs w:val="21"/>
                    </w:rPr>
                  </w:pPr>
                  <w:r>
                    <w:rPr>
                      <w:b/>
                      <w:bCs/>
                      <w:szCs w:val="21"/>
                    </w:rPr>
                    <w:t>项目类别</w:t>
                  </w:r>
                </w:p>
              </w:tc>
              <w:tc>
                <w:tcPr>
                  <w:tcW w:w="1201" w:type="dxa"/>
                  <w:tcBorders>
                    <w:tl2br w:val="nil"/>
                    <w:tr2bl w:val="nil"/>
                  </w:tcBorders>
                  <w:vAlign w:val="center"/>
                </w:tcPr>
                <w:p>
                  <w:pPr>
                    <w:jc w:val="center"/>
                    <w:rPr>
                      <w:b/>
                      <w:bCs/>
                      <w:szCs w:val="21"/>
                    </w:rPr>
                  </w:pPr>
                  <w:r>
                    <w:rPr>
                      <w:b/>
                      <w:bCs/>
                      <w:szCs w:val="21"/>
                    </w:rPr>
                    <w:t>检测项目</w:t>
                  </w:r>
                </w:p>
              </w:tc>
              <w:tc>
                <w:tcPr>
                  <w:tcW w:w="3022" w:type="dxa"/>
                  <w:tcBorders>
                    <w:tl2br w:val="nil"/>
                    <w:tr2bl w:val="nil"/>
                  </w:tcBorders>
                  <w:vAlign w:val="center"/>
                </w:tcPr>
                <w:p>
                  <w:pPr>
                    <w:jc w:val="center"/>
                    <w:rPr>
                      <w:b/>
                      <w:bCs/>
                      <w:szCs w:val="21"/>
                    </w:rPr>
                  </w:pPr>
                  <w:r>
                    <w:rPr>
                      <w:b/>
                      <w:bCs/>
                      <w:szCs w:val="21"/>
                    </w:rPr>
                    <w:t>分析方法</w:t>
                  </w:r>
                </w:p>
              </w:tc>
              <w:tc>
                <w:tcPr>
                  <w:tcW w:w="1856" w:type="dxa"/>
                  <w:tcBorders>
                    <w:tl2br w:val="nil"/>
                    <w:tr2bl w:val="nil"/>
                  </w:tcBorders>
                  <w:vAlign w:val="center"/>
                </w:tcPr>
                <w:p>
                  <w:pPr>
                    <w:jc w:val="center"/>
                    <w:rPr>
                      <w:b/>
                      <w:bCs/>
                      <w:szCs w:val="21"/>
                    </w:rPr>
                  </w:pPr>
                  <w:r>
                    <w:rPr>
                      <w:b/>
                      <w:bCs/>
                      <w:szCs w:val="21"/>
                    </w:rPr>
                    <w:t>仪器设备及编号</w:t>
                  </w:r>
                </w:p>
              </w:tc>
              <w:tc>
                <w:tcPr>
                  <w:tcW w:w="1045" w:type="dxa"/>
                  <w:tcBorders>
                    <w:tl2br w:val="nil"/>
                    <w:tr2bl w:val="nil"/>
                  </w:tcBorders>
                  <w:vAlign w:val="center"/>
                </w:tcPr>
                <w:p>
                  <w:pPr>
                    <w:jc w:val="center"/>
                    <w:rPr>
                      <w:b/>
                      <w:bCs/>
                      <w:szCs w:val="21"/>
                    </w:rPr>
                  </w:pPr>
                  <w:r>
                    <w:rPr>
                      <w:b/>
                      <w:bCs/>
                      <w:szCs w:val="21"/>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tcBorders>
                    <w:tl2br w:val="nil"/>
                    <w:tr2bl w:val="nil"/>
                  </w:tcBorders>
                  <w:vAlign w:val="center"/>
                </w:tcPr>
                <w:p>
                  <w:pPr>
                    <w:numPr>
                      <w:ilvl w:val="0"/>
                      <w:numId w:val="3"/>
                    </w:numPr>
                    <w:jc w:val="center"/>
                    <w:rPr>
                      <w:szCs w:val="21"/>
                    </w:rPr>
                  </w:pPr>
                </w:p>
              </w:tc>
              <w:tc>
                <w:tcPr>
                  <w:tcW w:w="1201" w:type="dxa"/>
                  <w:vMerge w:val="restart"/>
                  <w:tcBorders>
                    <w:tl2br w:val="nil"/>
                    <w:tr2bl w:val="nil"/>
                  </w:tcBorders>
                  <w:vAlign w:val="center"/>
                </w:tcPr>
                <w:p>
                  <w:pPr>
                    <w:widowControl/>
                    <w:jc w:val="center"/>
                    <w:rPr>
                      <w:szCs w:val="21"/>
                    </w:rPr>
                  </w:pPr>
                  <w:r>
                    <w:rPr>
                      <w:szCs w:val="21"/>
                    </w:rPr>
                    <w:t>废水</w:t>
                  </w:r>
                </w:p>
              </w:tc>
              <w:tc>
                <w:tcPr>
                  <w:tcW w:w="1201" w:type="dxa"/>
                  <w:tcBorders>
                    <w:tl2br w:val="nil"/>
                    <w:tr2bl w:val="nil"/>
                  </w:tcBorders>
                  <w:vAlign w:val="center"/>
                </w:tcPr>
                <w:p>
                  <w:pPr>
                    <w:jc w:val="center"/>
                    <w:rPr>
                      <w:szCs w:val="21"/>
                    </w:rPr>
                  </w:pPr>
                  <w:r>
                    <w:rPr>
                      <w:szCs w:val="21"/>
                    </w:rPr>
                    <w:t>pH值</w:t>
                  </w:r>
                </w:p>
              </w:tc>
              <w:tc>
                <w:tcPr>
                  <w:tcW w:w="3022" w:type="dxa"/>
                  <w:tcBorders>
                    <w:tl2br w:val="nil"/>
                    <w:tr2bl w:val="nil"/>
                  </w:tcBorders>
                  <w:vAlign w:val="center"/>
                </w:tcPr>
                <w:p>
                  <w:pPr>
                    <w:widowControl/>
                    <w:jc w:val="center"/>
                    <w:rPr>
                      <w:szCs w:val="21"/>
                    </w:rPr>
                  </w:pPr>
                  <w:r>
                    <w:rPr>
                      <w:rFonts w:hint="eastAsia"/>
                      <w:szCs w:val="21"/>
                    </w:rPr>
                    <w:t>《便携式pH计法》（《水和废水监测分析方法》（第四版）国家环境保护总局（2002）3.1.6.2）</w:t>
                  </w:r>
                </w:p>
              </w:tc>
              <w:tc>
                <w:tcPr>
                  <w:tcW w:w="1856" w:type="dxa"/>
                  <w:tcBorders>
                    <w:tl2br w:val="nil"/>
                    <w:tr2bl w:val="nil"/>
                  </w:tcBorders>
                  <w:vAlign w:val="center"/>
                </w:tcPr>
                <w:p>
                  <w:pPr>
                    <w:widowControl/>
                    <w:jc w:val="center"/>
                    <w:rPr>
                      <w:szCs w:val="21"/>
                    </w:rPr>
                  </w:pPr>
                  <w:r>
                    <w:rPr>
                      <w:rFonts w:hint="eastAsia"/>
                      <w:szCs w:val="21"/>
                    </w:rPr>
                    <w:t>86031型水质综合测试仪SMX-007-2</w:t>
                  </w:r>
                </w:p>
              </w:tc>
              <w:tc>
                <w:tcPr>
                  <w:tcW w:w="1045" w:type="dxa"/>
                  <w:tcBorders>
                    <w:tl2br w:val="nil"/>
                    <w:tr2bl w:val="nil"/>
                  </w:tcBorders>
                  <w:vAlign w:val="center"/>
                </w:tcPr>
                <w:p>
                  <w:pPr>
                    <w:widowControl/>
                    <w:jc w:val="center"/>
                    <w:rPr>
                      <w:szCs w:val="21"/>
                    </w:rPr>
                  </w:pPr>
                  <w:r>
                    <w:rPr>
                      <w:rFonts w:hint="eastAsia"/>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tcBorders>
                    <w:tl2br w:val="nil"/>
                    <w:tr2bl w:val="nil"/>
                  </w:tcBorders>
                  <w:vAlign w:val="center"/>
                </w:tcPr>
                <w:p>
                  <w:pPr>
                    <w:numPr>
                      <w:ilvl w:val="0"/>
                      <w:numId w:val="4"/>
                    </w:numPr>
                    <w:jc w:val="center"/>
                    <w:rPr>
                      <w:szCs w:val="21"/>
                    </w:rPr>
                  </w:pPr>
                </w:p>
              </w:tc>
              <w:tc>
                <w:tcPr>
                  <w:tcW w:w="1201" w:type="dxa"/>
                  <w:vMerge w:val="continue"/>
                  <w:tcBorders>
                    <w:tl2br w:val="nil"/>
                    <w:tr2bl w:val="nil"/>
                  </w:tcBorders>
                  <w:vAlign w:val="center"/>
                </w:tcPr>
                <w:p>
                  <w:pPr>
                    <w:jc w:val="center"/>
                    <w:rPr>
                      <w:szCs w:val="21"/>
                    </w:rPr>
                  </w:pPr>
                </w:p>
              </w:tc>
              <w:tc>
                <w:tcPr>
                  <w:tcW w:w="1201" w:type="dxa"/>
                  <w:tcBorders>
                    <w:tl2br w:val="nil"/>
                    <w:tr2bl w:val="nil"/>
                  </w:tcBorders>
                  <w:vAlign w:val="center"/>
                </w:tcPr>
                <w:p>
                  <w:pPr>
                    <w:jc w:val="center"/>
                    <w:rPr>
                      <w:szCs w:val="21"/>
                    </w:rPr>
                  </w:pPr>
                  <w:r>
                    <w:rPr>
                      <w:rFonts w:hint="eastAsia"/>
                      <w:szCs w:val="21"/>
                    </w:rPr>
                    <w:t>化学需</w:t>
                  </w:r>
                </w:p>
                <w:p>
                  <w:pPr>
                    <w:jc w:val="center"/>
                    <w:rPr>
                      <w:szCs w:val="21"/>
                    </w:rPr>
                  </w:pPr>
                  <w:r>
                    <w:rPr>
                      <w:rFonts w:hint="eastAsia"/>
                      <w:szCs w:val="21"/>
                    </w:rPr>
                    <w:t>氧量</w:t>
                  </w:r>
                </w:p>
              </w:tc>
              <w:tc>
                <w:tcPr>
                  <w:tcW w:w="3022" w:type="dxa"/>
                  <w:tcBorders>
                    <w:tl2br w:val="nil"/>
                    <w:tr2bl w:val="nil"/>
                  </w:tcBorders>
                  <w:vAlign w:val="center"/>
                </w:tcPr>
                <w:p>
                  <w:pPr>
                    <w:jc w:val="center"/>
                    <w:rPr>
                      <w:szCs w:val="21"/>
                    </w:rPr>
                  </w:pPr>
                  <w:r>
                    <w:rPr>
                      <w:rFonts w:hint="eastAsia"/>
                      <w:szCs w:val="21"/>
                    </w:rPr>
                    <w:t>《水质 化学需氧量的测定 重铬酸盐法》（</w:t>
                  </w:r>
                  <w:r>
                    <w:rPr>
                      <w:szCs w:val="21"/>
                    </w:rPr>
                    <w:t>HJ 828-2017</w:t>
                  </w:r>
                  <w:r>
                    <w:rPr>
                      <w:rFonts w:hint="eastAsia"/>
                      <w:szCs w:val="21"/>
                    </w:rPr>
                    <w:t>）</w:t>
                  </w:r>
                </w:p>
              </w:tc>
              <w:tc>
                <w:tcPr>
                  <w:tcW w:w="1856" w:type="dxa"/>
                  <w:tcBorders>
                    <w:tl2br w:val="nil"/>
                    <w:tr2bl w:val="nil"/>
                  </w:tcBorders>
                  <w:vAlign w:val="center"/>
                </w:tcPr>
                <w:p>
                  <w:pPr>
                    <w:widowControl/>
                    <w:jc w:val="center"/>
                    <w:rPr>
                      <w:szCs w:val="21"/>
                    </w:rPr>
                  </w:pPr>
                  <w:r>
                    <w:rPr>
                      <w:rFonts w:hint="eastAsia"/>
                      <w:szCs w:val="21"/>
                    </w:rPr>
                    <w:t>50ml</w:t>
                  </w:r>
                  <w:r>
                    <w:rPr>
                      <w:szCs w:val="21"/>
                    </w:rPr>
                    <w:t>滴定管</w:t>
                  </w:r>
                </w:p>
              </w:tc>
              <w:tc>
                <w:tcPr>
                  <w:tcW w:w="1045" w:type="dxa"/>
                  <w:tcBorders>
                    <w:tl2br w:val="nil"/>
                    <w:tr2bl w:val="nil"/>
                  </w:tcBorders>
                  <w:vAlign w:val="center"/>
                </w:tcPr>
                <w:p>
                  <w:pPr>
                    <w:widowControl/>
                    <w:jc w:val="center"/>
                    <w:rPr>
                      <w:szCs w:val="21"/>
                    </w:rPr>
                  </w:pPr>
                  <w:r>
                    <w:rPr>
                      <w:rFonts w:hint="eastAsia"/>
                      <w:szCs w:val="21"/>
                    </w:rPr>
                    <w:t>4mg/L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tcBorders>
                    <w:tl2br w:val="nil"/>
                    <w:tr2bl w:val="nil"/>
                  </w:tcBorders>
                  <w:vAlign w:val="center"/>
                </w:tcPr>
                <w:p>
                  <w:pPr>
                    <w:numPr>
                      <w:ilvl w:val="0"/>
                      <w:numId w:val="4"/>
                    </w:numPr>
                    <w:jc w:val="center"/>
                    <w:rPr>
                      <w:szCs w:val="21"/>
                    </w:rPr>
                  </w:pPr>
                </w:p>
              </w:tc>
              <w:tc>
                <w:tcPr>
                  <w:tcW w:w="1201" w:type="dxa"/>
                  <w:vMerge w:val="continue"/>
                  <w:tcBorders>
                    <w:tl2br w:val="nil"/>
                    <w:tr2bl w:val="nil"/>
                  </w:tcBorders>
                  <w:vAlign w:val="center"/>
                </w:tcPr>
                <w:p>
                  <w:pPr>
                    <w:jc w:val="center"/>
                    <w:rPr>
                      <w:szCs w:val="21"/>
                    </w:rPr>
                  </w:pPr>
                </w:p>
              </w:tc>
              <w:tc>
                <w:tcPr>
                  <w:tcW w:w="1201" w:type="dxa"/>
                  <w:tcBorders>
                    <w:tl2br w:val="nil"/>
                    <w:tr2bl w:val="nil"/>
                  </w:tcBorders>
                  <w:vAlign w:val="center"/>
                </w:tcPr>
                <w:p>
                  <w:pPr>
                    <w:jc w:val="center"/>
                    <w:rPr>
                      <w:szCs w:val="21"/>
                    </w:rPr>
                  </w:pPr>
                  <w:r>
                    <w:rPr>
                      <w:szCs w:val="21"/>
                    </w:rPr>
                    <w:t>悬浮物</w:t>
                  </w:r>
                </w:p>
              </w:tc>
              <w:tc>
                <w:tcPr>
                  <w:tcW w:w="3022" w:type="dxa"/>
                  <w:tcBorders>
                    <w:tl2br w:val="nil"/>
                    <w:tr2bl w:val="nil"/>
                  </w:tcBorders>
                  <w:vAlign w:val="center"/>
                </w:tcPr>
                <w:p>
                  <w:pPr>
                    <w:jc w:val="center"/>
                    <w:rPr>
                      <w:szCs w:val="21"/>
                    </w:rPr>
                  </w:pPr>
                  <w:r>
                    <w:rPr>
                      <w:rFonts w:hint="eastAsia"/>
                      <w:szCs w:val="21"/>
                    </w:rPr>
                    <w:t>《水质 悬浮物的测定 重量法》</w:t>
                  </w:r>
                </w:p>
                <w:p>
                  <w:pPr>
                    <w:jc w:val="center"/>
                    <w:rPr>
                      <w:szCs w:val="21"/>
                    </w:rPr>
                  </w:pPr>
                  <w:r>
                    <w:rPr>
                      <w:rFonts w:hint="eastAsia"/>
                      <w:szCs w:val="21"/>
                    </w:rPr>
                    <w:t>（</w:t>
                  </w:r>
                  <w:r>
                    <w:rPr>
                      <w:szCs w:val="21"/>
                    </w:rPr>
                    <w:t>GB/T 11901-89</w:t>
                  </w:r>
                  <w:r>
                    <w:rPr>
                      <w:rFonts w:hint="eastAsia"/>
                      <w:szCs w:val="21"/>
                    </w:rPr>
                    <w:t>）</w:t>
                  </w:r>
                </w:p>
              </w:tc>
              <w:tc>
                <w:tcPr>
                  <w:tcW w:w="1856" w:type="dxa"/>
                  <w:tcBorders>
                    <w:tl2br w:val="nil"/>
                    <w:tr2bl w:val="nil"/>
                  </w:tcBorders>
                  <w:vAlign w:val="center"/>
                </w:tcPr>
                <w:p>
                  <w:pPr>
                    <w:widowControl/>
                    <w:jc w:val="center"/>
                    <w:rPr>
                      <w:szCs w:val="21"/>
                    </w:rPr>
                  </w:pPr>
                  <w:r>
                    <w:rPr>
                      <w:rFonts w:hint="eastAsia"/>
                      <w:szCs w:val="21"/>
                    </w:rPr>
                    <w:t>fb224分析天平（万分之一）SMX-011</w:t>
                  </w:r>
                </w:p>
              </w:tc>
              <w:tc>
                <w:tcPr>
                  <w:tcW w:w="1045" w:type="dxa"/>
                  <w:tcBorders>
                    <w:tl2br w:val="nil"/>
                    <w:tr2bl w:val="nil"/>
                  </w:tcBorders>
                  <w:vAlign w:val="center"/>
                </w:tcPr>
                <w:p>
                  <w:pPr>
                    <w:widowControl/>
                    <w:jc w:val="center"/>
                    <w:rPr>
                      <w:szCs w:val="21"/>
                    </w:rPr>
                  </w:pPr>
                  <w:r>
                    <w:rPr>
                      <w:szCs w:val="21"/>
                    </w:rPr>
                    <w:t>4mg/L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4"/>
                    </w:numPr>
                    <w:jc w:val="center"/>
                    <w:rPr>
                      <w:szCs w:val="21"/>
                    </w:rPr>
                  </w:pPr>
                </w:p>
              </w:tc>
              <w:tc>
                <w:tcPr>
                  <w:tcW w:w="1201" w:type="dxa"/>
                  <w:vMerge w:val="continue"/>
                  <w:vAlign w:val="center"/>
                </w:tcPr>
                <w:p>
                  <w:pPr>
                    <w:jc w:val="center"/>
                    <w:rPr>
                      <w:szCs w:val="21"/>
                    </w:rPr>
                  </w:pPr>
                </w:p>
              </w:tc>
              <w:tc>
                <w:tcPr>
                  <w:tcW w:w="1201" w:type="dxa"/>
                  <w:vAlign w:val="center"/>
                </w:tcPr>
                <w:p>
                  <w:pPr>
                    <w:jc w:val="center"/>
                    <w:rPr>
                      <w:szCs w:val="21"/>
                    </w:rPr>
                  </w:pPr>
                  <w:r>
                    <w:rPr>
                      <w:rFonts w:hint="eastAsia"/>
                      <w:szCs w:val="21"/>
                    </w:rPr>
                    <w:t>氨氮</w:t>
                  </w:r>
                </w:p>
              </w:tc>
              <w:tc>
                <w:tcPr>
                  <w:tcW w:w="3022" w:type="dxa"/>
                  <w:vAlign w:val="center"/>
                </w:tcPr>
                <w:p>
                  <w:pPr>
                    <w:jc w:val="center"/>
                    <w:rPr>
                      <w:szCs w:val="21"/>
                    </w:rPr>
                  </w:pPr>
                  <w:r>
                    <w:rPr>
                      <w:rFonts w:hint="eastAsia"/>
                      <w:szCs w:val="21"/>
                    </w:rPr>
                    <w:t>《水质 氨氮的测定 纳氏试剂分光光度法》（</w:t>
                  </w:r>
                  <w:r>
                    <w:rPr>
                      <w:szCs w:val="21"/>
                    </w:rPr>
                    <w:t>HJ 535-2009</w:t>
                  </w:r>
                  <w:r>
                    <w:rPr>
                      <w:rFonts w:hint="eastAsia"/>
                      <w:szCs w:val="21"/>
                    </w:rPr>
                    <w:t>）</w:t>
                  </w:r>
                </w:p>
              </w:tc>
              <w:tc>
                <w:tcPr>
                  <w:tcW w:w="1856" w:type="dxa"/>
                  <w:vAlign w:val="center"/>
                </w:tcPr>
                <w:p>
                  <w:pPr>
                    <w:widowControl/>
                    <w:jc w:val="center"/>
                    <w:rPr>
                      <w:szCs w:val="21"/>
                    </w:rPr>
                  </w:pPr>
                  <w:r>
                    <w:rPr>
                      <w:rFonts w:hint="eastAsia"/>
                      <w:kern w:val="0"/>
                      <w:szCs w:val="21"/>
                    </w:rPr>
                    <w:t>723N可见光分光光度计SMF-009</w:t>
                  </w:r>
                </w:p>
              </w:tc>
              <w:tc>
                <w:tcPr>
                  <w:tcW w:w="1045" w:type="dxa"/>
                  <w:vAlign w:val="center"/>
                </w:tcPr>
                <w:p>
                  <w:pPr>
                    <w:widowControl/>
                    <w:jc w:val="center"/>
                    <w:rPr>
                      <w:szCs w:val="21"/>
                    </w:rPr>
                  </w:pPr>
                  <w:r>
                    <w:rPr>
                      <w:rFonts w:hint="eastAsia"/>
                      <w:szCs w:val="21"/>
                    </w:rPr>
                    <w:t>0.025mg/L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4"/>
                    </w:numPr>
                    <w:jc w:val="center"/>
                    <w:rPr>
                      <w:szCs w:val="21"/>
                    </w:rPr>
                  </w:pPr>
                </w:p>
              </w:tc>
              <w:tc>
                <w:tcPr>
                  <w:tcW w:w="1201" w:type="dxa"/>
                  <w:vMerge w:val="continue"/>
                  <w:vAlign w:val="center"/>
                </w:tcPr>
                <w:p>
                  <w:pPr>
                    <w:widowControl/>
                    <w:jc w:val="center"/>
                    <w:rPr>
                      <w:szCs w:val="21"/>
                    </w:rPr>
                  </w:pPr>
                </w:p>
              </w:tc>
              <w:tc>
                <w:tcPr>
                  <w:tcW w:w="1201" w:type="dxa"/>
                  <w:vAlign w:val="center"/>
                </w:tcPr>
                <w:p>
                  <w:pPr>
                    <w:widowControl/>
                    <w:jc w:val="center"/>
                    <w:rPr>
                      <w:szCs w:val="21"/>
                    </w:rPr>
                  </w:pPr>
                  <w:r>
                    <w:rPr>
                      <w:rFonts w:hint="eastAsia"/>
                      <w:szCs w:val="21"/>
                    </w:rPr>
                    <w:t>总磷</w:t>
                  </w:r>
                </w:p>
              </w:tc>
              <w:tc>
                <w:tcPr>
                  <w:tcW w:w="3022" w:type="dxa"/>
                  <w:vAlign w:val="center"/>
                </w:tcPr>
                <w:p>
                  <w:pPr>
                    <w:jc w:val="center"/>
                    <w:rPr>
                      <w:szCs w:val="21"/>
                    </w:rPr>
                  </w:pPr>
                  <w:r>
                    <w:rPr>
                      <w:rFonts w:hint="eastAsia"/>
                      <w:szCs w:val="21"/>
                    </w:rPr>
                    <w:t>《水质 总磷的测定 钼酸铵分光光度法》（</w:t>
                  </w:r>
                  <w:r>
                    <w:rPr>
                      <w:szCs w:val="21"/>
                    </w:rPr>
                    <w:t>GB/T 11893-89</w:t>
                  </w:r>
                  <w:r>
                    <w:rPr>
                      <w:rFonts w:hint="eastAsia"/>
                      <w:szCs w:val="21"/>
                    </w:rPr>
                    <w:t>）</w:t>
                  </w:r>
                </w:p>
              </w:tc>
              <w:tc>
                <w:tcPr>
                  <w:tcW w:w="1856" w:type="dxa"/>
                  <w:vAlign w:val="center"/>
                </w:tcPr>
                <w:p>
                  <w:pPr>
                    <w:widowControl/>
                    <w:jc w:val="center"/>
                    <w:rPr>
                      <w:szCs w:val="21"/>
                    </w:rPr>
                  </w:pPr>
                  <w:r>
                    <w:rPr>
                      <w:rFonts w:hint="eastAsia"/>
                      <w:kern w:val="0"/>
                      <w:szCs w:val="21"/>
                    </w:rPr>
                    <w:t>723N可见光分光光度计SMF-009</w:t>
                  </w:r>
                </w:p>
              </w:tc>
              <w:tc>
                <w:tcPr>
                  <w:tcW w:w="1045" w:type="dxa"/>
                  <w:vAlign w:val="center"/>
                </w:tcPr>
                <w:p>
                  <w:pPr>
                    <w:widowControl/>
                    <w:jc w:val="center"/>
                    <w:rPr>
                      <w:szCs w:val="21"/>
                    </w:rPr>
                  </w:pPr>
                  <w:r>
                    <w:rPr>
                      <w:rFonts w:hint="eastAsia"/>
                      <w:szCs w:val="21"/>
                    </w:rPr>
                    <w:t>0.01mg/L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4"/>
                    </w:numPr>
                    <w:jc w:val="center"/>
                    <w:rPr>
                      <w:szCs w:val="21"/>
                    </w:rPr>
                  </w:pPr>
                </w:p>
              </w:tc>
              <w:tc>
                <w:tcPr>
                  <w:tcW w:w="1201" w:type="dxa"/>
                  <w:vMerge w:val="continue"/>
                  <w:vAlign w:val="center"/>
                </w:tcPr>
                <w:p>
                  <w:pPr>
                    <w:jc w:val="center"/>
                    <w:rPr>
                      <w:szCs w:val="21"/>
                    </w:rPr>
                  </w:pPr>
                </w:p>
              </w:tc>
              <w:tc>
                <w:tcPr>
                  <w:tcW w:w="1201" w:type="dxa"/>
                  <w:vAlign w:val="center"/>
                </w:tcPr>
                <w:p>
                  <w:pPr>
                    <w:jc w:val="center"/>
                    <w:rPr>
                      <w:szCs w:val="21"/>
                    </w:rPr>
                  </w:pPr>
                  <w:r>
                    <w:rPr>
                      <w:rFonts w:hint="eastAsia"/>
                      <w:szCs w:val="21"/>
                    </w:rPr>
                    <w:t>石油类</w:t>
                  </w:r>
                </w:p>
              </w:tc>
              <w:tc>
                <w:tcPr>
                  <w:tcW w:w="3022" w:type="dxa"/>
                  <w:vAlign w:val="center"/>
                </w:tcPr>
                <w:p>
                  <w:pPr>
                    <w:jc w:val="center"/>
                    <w:rPr>
                      <w:szCs w:val="21"/>
                    </w:rPr>
                  </w:pPr>
                  <w:r>
                    <w:rPr>
                      <w:rFonts w:hint="eastAsia"/>
                      <w:szCs w:val="21"/>
                    </w:rPr>
                    <w:t>《水质 石油类和动植物油类的测定 红外光度法》（</w:t>
                  </w:r>
                  <w:r>
                    <w:rPr>
                      <w:szCs w:val="21"/>
                    </w:rPr>
                    <w:t>HJ 637-201</w:t>
                  </w:r>
                  <w:r>
                    <w:rPr>
                      <w:rFonts w:hint="eastAsia"/>
                      <w:szCs w:val="21"/>
                    </w:rPr>
                    <w:t>8）</w:t>
                  </w:r>
                </w:p>
              </w:tc>
              <w:tc>
                <w:tcPr>
                  <w:tcW w:w="1856" w:type="dxa"/>
                  <w:vAlign w:val="center"/>
                </w:tcPr>
                <w:p>
                  <w:pPr>
                    <w:widowControl/>
                    <w:jc w:val="center"/>
                    <w:rPr>
                      <w:szCs w:val="21"/>
                    </w:rPr>
                  </w:pPr>
                  <w:r>
                    <w:rPr>
                      <w:rFonts w:hint="eastAsia"/>
                      <w:szCs w:val="21"/>
                    </w:rPr>
                    <w:t>F2000-11红外测油仪SMF-023</w:t>
                  </w:r>
                </w:p>
              </w:tc>
              <w:tc>
                <w:tcPr>
                  <w:tcW w:w="1045" w:type="dxa"/>
                  <w:vAlign w:val="center"/>
                </w:tcPr>
                <w:p>
                  <w:pPr>
                    <w:widowControl/>
                    <w:jc w:val="center"/>
                    <w:rPr>
                      <w:szCs w:val="21"/>
                    </w:rPr>
                  </w:pPr>
                  <w:r>
                    <w:rPr>
                      <w:szCs w:val="21"/>
                    </w:rPr>
                    <w:t>0.0</w:t>
                  </w:r>
                  <w:r>
                    <w:rPr>
                      <w:rFonts w:hint="eastAsia"/>
                      <w:szCs w:val="21"/>
                    </w:rPr>
                    <w:t>6</w:t>
                  </w:r>
                  <w:r>
                    <w:rPr>
                      <w:szCs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4"/>
                    </w:numPr>
                    <w:jc w:val="center"/>
                    <w:rPr>
                      <w:szCs w:val="21"/>
                    </w:rPr>
                  </w:pPr>
                </w:p>
              </w:tc>
              <w:tc>
                <w:tcPr>
                  <w:tcW w:w="1201" w:type="dxa"/>
                  <w:vMerge w:val="continue"/>
                  <w:vAlign w:val="center"/>
                </w:tcPr>
                <w:p>
                  <w:pPr>
                    <w:jc w:val="center"/>
                    <w:rPr>
                      <w:szCs w:val="21"/>
                    </w:rPr>
                  </w:pPr>
                </w:p>
              </w:tc>
              <w:tc>
                <w:tcPr>
                  <w:tcW w:w="1201" w:type="dxa"/>
                  <w:vAlign w:val="center"/>
                </w:tcPr>
                <w:p>
                  <w:pPr>
                    <w:jc w:val="center"/>
                    <w:rPr>
                      <w:szCs w:val="21"/>
                    </w:rPr>
                  </w:pPr>
                  <w:r>
                    <w:rPr>
                      <w:rFonts w:hint="eastAsia"/>
                      <w:szCs w:val="21"/>
                    </w:rPr>
                    <w:t>动植物</w:t>
                  </w:r>
                </w:p>
                <w:p>
                  <w:pPr>
                    <w:jc w:val="center"/>
                    <w:rPr>
                      <w:szCs w:val="21"/>
                    </w:rPr>
                  </w:pPr>
                  <w:r>
                    <w:rPr>
                      <w:rFonts w:hint="eastAsia"/>
                      <w:szCs w:val="21"/>
                    </w:rPr>
                    <w:t>油类</w:t>
                  </w:r>
                </w:p>
              </w:tc>
              <w:tc>
                <w:tcPr>
                  <w:tcW w:w="3022" w:type="dxa"/>
                  <w:vAlign w:val="center"/>
                </w:tcPr>
                <w:p>
                  <w:pPr>
                    <w:jc w:val="center"/>
                    <w:rPr>
                      <w:szCs w:val="21"/>
                    </w:rPr>
                  </w:pPr>
                  <w:r>
                    <w:rPr>
                      <w:szCs w:val="21"/>
                    </w:rPr>
                    <w:t>《环境空气总烃、甲烷和非甲烷总烃的测定直接进样-气相色谱法》（HJ 604-2017）</w:t>
                  </w:r>
                </w:p>
              </w:tc>
              <w:tc>
                <w:tcPr>
                  <w:tcW w:w="1856" w:type="dxa"/>
                  <w:vAlign w:val="center"/>
                </w:tcPr>
                <w:p>
                  <w:pPr>
                    <w:widowControl/>
                    <w:jc w:val="center"/>
                    <w:rPr>
                      <w:szCs w:val="21"/>
                    </w:rPr>
                  </w:pPr>
                  <w:r>
                    <w:rPr>
                      <w:szCs w:val="21"/>
                    </w:rPr>
                    <w:t>A91PLUS气相色谱仪SMF-021</w:t>
                  </w:r>
                </w:p>
              </w:tc>
              <w:tc>
                <w:tcPr>
                  <w:tcW w:w="1045" w:type="dxa"/>
                  <w:vAlign w:val="center"/>
                </w:tcPr>
                <w:p>
                  <w:pPr>
                    <w:widowControl/>
                    <w:jc w:val="center"/>
                    <w:rPr>
                      <w:szCs w:val="21"/>
                    </w:rPr>
                  </w:pPr>
                  <w:r>
                    <w:rPr>
                      <w:szCs w:val="21"/>
                    </w:rPr>
                    <w:t>0.0</w:t>
                  </w:r>
                  <w:r>
                    <w:rPr>
                      <w:rFonts w:hint="eastAsia"/>
                      <w:szCs w:val="21"/>
                    </w:rPr>
                    <w:t>6</w:t>
                  </w:r>
                  <w:r>
                    <w:rPr>
                      <w:szCs w:val="21"/>
                    </w:rPr>
                    <w:t>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3"/>
                    </w:numPr>
                    <w:jc w:val="center"/>
                    <w:rPr>
                      <w:szCs w:val="21"/>
                    </w:rPr>
                  </w:pPr>
                </w:p>
              </w:tc>
              <w:tc>
                <w:tcPr>
                  <w:tcW w:w="1201" w:type="dxa"/>
                  <w:vAlign w:val="center"/>
                </w:tcPr>
                <w:p>
                  <w:pPr>
                    <w:widowControl/>
                    <w:jc w:val="center"/>
                    <w:rPr>
                      <w:szCs w:val="21"/>
                    </w:rPr>
                  </w:pPr>
                  <w:r>
                    <w:rPr>
                      <w:szCs w:val="21"/>
                    </w:rPr>
                    <w:t>有组织</w:t>
                  </w:r>
                </w:p>
                <w:p>
                  <w:pPr>
                    <w:widowControl/>
                    <w:jc w:val="center"/>
                    <w:rPr>
                      <w:szCs w:val="21"/>
                    </w:rPr>
                  </w:pPr>
                  <w:r>
                    <w:rPr>
                      <w:rFonts w:hint="eastAsia"/>
                      <w:szCs w:val="21"/>
                    </w:rPr>
                    <w:t>废气</w:t>
                  </w:r>
                </w:p>
              </w:tc>
              <w:tc>
                <w:tcPr>
                  <w:tcW w:w="1201" w:type="dxa"/>
                  <w:vAlign w:val="center"/>
                </w:tcPr>
                <w:p>
                  <w:pPr>
                    <w:jc w:val="center"/>
                    <w:rPr>
                      <w:szCs w:val="21"/>
                    </w:rPr>
                  </w:pPr>
                  <w:r>
                    <w:rPr>
                      <w:rFonts w:hint="eastAsia"/>
                      <w:szCs w:val="21"/>
                    </w:rPr>
                    <w:t>非甲烷</w:t>
                  </w:r>
                </w:p>
                <w:p>
                  <w:pPr>
                    <w:jc w:val="center"/>
                    <w:rPr>
                      <w:szCs w:val="21"/>
                    </w:rPr>
                  </w:pPr>
                  <w:r>
                    <w:rPr>
                      <w:szCs w:val="21"/>
                    </w:rPr>
                    <w:t>总烃</w:t>
                  </w:r>
                </w:p>
              </w:tc>
              <w:tc>
                <w:tcPr>
                  <w:tcW w:w="3022" w:type="dxa"/>
                  <w:vAlign w:val="center"/>
                </w:tcPr>
                <w:p>
                  <w:pPr>
                    <w:jc w:val="center"/>
                    <w:rPr>
                      <w:rFonts w:ascii="宋体" w:hAnsi="宋体" w:cs="宋体"/>
                      <w:szCs w:val="21"/>
                    </w:rPr>
                  </w:pPr>
                  <w:r>
                    <w:rPr>
                      <w:rFonts w:hint="eastAsia"/>
                      <w:szCs w:val="21"/>
                    </w:rPr>
                    <w:t>《固定污染源废气总烃、甲烷和非甲烷总烃的测定气相色谱法》</w:t>
                  </w:r>
                </w:p>
                <w:p>
                  <w:pPr>
                    <w:jc w:val="center"/>
                    <w:rPr>
                      <w:rFonts w:ascii="宋体" w:hAnsi="宋体" w:cs="宋体"/>
                      <w:szCs w:val="21"/>
                    </w:rPr>
                  </w:pPr>
                  <w:r>
                    <w:rPr>
                      <w:rFonts w:hint="eastAsia"/>
                      <w:szCs w:val="21"/>
                    </w:rPr>
                    <w:t>（</w:t>
                  </w:r>
                  <w:r>
                    <w:rPr>
                      <w:szCs w:val="21"/>
                    </w:rPr>
                    <w:t>HJ 38-2017</w:t>
                  </w:r>
                  <w:r>
                    <w:rPr>
                      <w:rFonts w:hint="eastAsia"/>
                      <w:szCs w:val="21"/>
                    </w:rPr>
                    <w:t>）</w:t>
                  </w:r>
                </w:p>
              </w:tc>
              <w:tc>
                <w:tcPr>
                  <w:tcW w:w="1856" w:type="dxa"/>
                  <w:vAlign w:val="center"/>
                </w:tcPr>
                <w:p>
                  <w:pPr>
                    <w:widowControl/>
                    <w:jc w:val="center"/>
                    <w:rPr>
                      <w:szCs w:val="21"/>
                    </w:rPr>
                  </w:pPr>
                  <w:r>
                    <w:rPr>
                      <w:rFonts w:hint="eastAsia"/>
                      <w:szCs w:val="21"/>
                    </w:rPr>
                    <w:t>A91PLUS气相色谱仪SMF-021</w:t>
                  </w:r>
                </w:p>
              </w:tc>
              <w:tc>
                <w:tcPr>
                  <w:tcW w:w="1045" w:type="dxa"/>
                  <w:vAlign w:val="center"/>
                </w:tcPr>
                <w:p>
                  <w:pPr>
                    <w:widowControl/>
                    <w:jc w:val="center"/>
                    <w:rPr>
                      <w:szCs w:val="21"/>
                    </w:rPr>
                  </w:pPr>
                  <w:r>
                    <w:rPr>
                      <w:szCs w:val="21"/>
                    </w:rPr>
                    <w:t>0.07mg/m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3"/>
                    </w:numPr>
                    <w:jc w:val="center"/>
                    <w:rPr>
                      <w:szCs w:val="21"/>
                    </w:rPr>
                  </w:pPr>
                </w:p>
              </w:tc>
              <w:tc>
                <w:tcPr>
                  <w:tcW w:w="1201" w:type="dxa"/>
                  <w:vAlign w:val="center"/>
                </w:tcPr>
                <w:p>
                  <w:pPr>
                    <w:widowControl/>
                    <w:jc w:val="center"/>
                    <w:rPr>
                      <w:szCs w:val="21"/>
                    </w:rPr>
                  </w:pPr>
                  <w:r>
                    <w:rPr>
                      <w:szCs w:val="21"/>
                    </w:rPr>
                    <w:t>无组织</w:t>
                  </w:r>
                </w:p>
                <w:p>
                  <w:pPr>
                    <w:widowControl/>
                    <w:jc w:val="center"/>
                    <w:rPr>
                      <w:szCs w:val="21"/>
                    </w:rPr>
                  </w:pPr>
                  <w:r>
                    <w:rPr>
                      <w:rFonts w:hint="eastAsia"/>
                      <w:szCs w:val="21"/>
                    </w:rPr>
                    <w:t>废气</w:t>
                  </w:r>
                </w:p>
              </w:tc>
              <w:tc>
                <w:tcPr>
                  <w:tcW w:w="1201" w:type="dxa"/>
                  <w:vAlign w:val="center"/>
                </w:tcPr>
                <w:p>
                  <w:pPr>
                    <w:widowControl/>
                    <w:jc w:val="center"/>
                    <w:rPr>
                      <w:szCs w:val="21"/>
                    </w:rPr>
                  </w:pPr>
                  <w:r>
                    <w:rPr>
                      <w:rFonts w:hint="eastAsia"/>
                      <w:szCs w:val="21"/>
                    </w:rPr>
                    <w:t>非甲烷</w:t>
                  </w:r>
                </w:p>
                <w:p>
                  <w:pPr>
                    <w:widowControl/>
                    <w:jc w:val="center"/>
                    <w:rPr>
                      <w:szCs w:val="21"/>
                    </w:rPr>
                  </w:pPr>
                  <w:r>
                    <w:rPr>
                      <w:szCs w:val="21"/>
                    </w:rPr>
                    <w:t>总烃</w:t>
                  </w:r>
                </w:p>
              </w:tc>
              <w:tc>
                <w:tcPr>
                  <w:tcW w:w="3022" w:type="dxa"/>
                  <w:vAlign w:val="center"/>
                </w:tcPr>
                <w:p>
                  <w:pPr>
                    <w:jc w:val="center"/>
                    <w:rPr>
                      <w:szCs w:val="21"/>
                    </w:rPr>
                  </w:pPr>
                  <w:r>
                    <w:rPr>
                      <w:rFonts w:hint="eastAsia"/>
                      <w:szCs w:val="21"/>
                    </w:rPr>
                    <w:t>《环境空气 总烃、甲烷和非甲烷总烃的测定 直接进样-气相色谱法》（</w:t>
                  </w:r>
                  <w:r>
                    <w:rPr>
                      <w:szCs w:val="21"/>
                    </w:rPr>
                    <w:t>HJ 604-2017</w:t>
                  </w:r>
                  <w:r>
                    <w:rPr>
                      <w:rFonts w:hint="eastAsia"/>
                      <w:szCs w:val="21"/>
                    </w:rPr>
                    <w:t>）</w:t>
                  </w:r>
                </w:p>
              </w:tc>
              <w:tc>
                <w:tcPr>
                  <w:tcW w:w="1856" w:type="dxa"/>
                  <w:vAlign w:val="center"/>
                </w:tcPr>
                <w:p>
                  <w:pPr>
                    <w:widowControl/>
                    <w:jc w:val="center"/>
                    <w:rPr>
                      <w:b/>
                      <w:szCs w:val="21"/>
                    </w:rPr>
                  </w:pPr>
                  <w:r>
                    <w:rPr>
                      <w:rFonts w:hint="eastAsia"/>
                      <w:szCs w:val="21"/>
                    </w:rPr>
                    <w:t>A91PLUS气相色谱仪SMF-021</w:t>
                  </w:r>
                </w:p>
              </w:tc>
              <w:tc>
                <w:tcPr>
                  <w:tcW w:w="1045" w:type="dxa"/>
                  <w:vAlign w:val="center"/>
                </w:tcPr>
                <w:p>
                  <w:pPr>
                    <w:widowControl/>
                    <w:jc w:val="center"/>
                    <w:rPr>
                      <w:szCs w:val="21"/>
                    </w:rPr>
                  </w:pPr>
                  <w:r>
                    <w:rPr>
                      <w:szCs w:val="21"/>
                    </w:rPr>
                    <w:t>0.07mg/m</w:t>
                  </w:r>
                  <w:r>
                    <w:rPr>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Ex>
              <w:trPr>
                <w:trHeight w:val="340" w:hRule="atLeast"/>
              </w:trPr>
              <w:tc>
                <w:tcPr>
                  <w:tcW w:w="573" w:type="dxa"/>
                  <w:vAlign w:val="center"/>
                </w:tcPr>
                <w:p>
                  <w:pPr>
                    <w:numPr>
                      <w:ilvl w:val="0"/>
                      <w:numId w:val="3"/>
                    </w:numPr>
                    <w:jc w:val="center"/>
                    <w:rPr>
                      <w:szCs w:val="21"/>
                    </w:rPr>
                  </w:pPr>
                </w:p>
              </w:tc>
              <w:tc>
                <w:tcPr>
                  <w:tcW w:w="1201" w:type="dxa"/>
                  <w:vAlign w:val="center"/>
                </w:tcPr>
                <w:p>
                  <w:pPr>
                    <w:widowControl/>
                    <w:jc w:val="center"/>
                    <w:rPr>
                      <w:szCs w:val="21"/>
                    </w:rPr>
                  </w:pPr>
                  <w:r>
                    <w:rPr>
                      <w:szCs w:val="21"/>
                    </w:rPr>
                    <w:t>噪声</w:t>
                  </w:r>
                </w:p>
              </w:tc>
              <w:tc>
                <w:tcPr>
                  <w:tcW w:w="1201" w:type="dxa"/>
                  <w:vAlign w:val="center"/>
                </w:tcPr>
                <w:p>
                  <w:pPr>
                    <w:jc w:val="center"/>
                    <w:rPr>
                      <w:szCs w:val="21"/>
                    </w:rPr>
                  </w:pPr>
                  <w:r>
                    <w:rPr>
                      <w:szCs w:val="21"/>
                    </w:rPr>
                    <w:t>厂界噪声</w:t>
                  </w:r>
                </w:p>
              </w:tc>
              <w:tc>
                <w:tcPr>
                  <w:tcW w:w="3022" w:type="dxa"/>
                  <w:vAlign w:val="center"/>
                </w:tcPr>
                <w:p>
                  <w:pPr>
                    <w:jc w:val="center"/>
                    <w:rPr>
                      <w:szCs w:val="21"/>
                    </w:rPr>
                  </w:pPr>
                  <w:r>
                    <w:rPr>
                      <w:rFonts w:hint="eastAsia"/>
                      <w:szCs w:val="21"/>
                    </w:rPr>
                    <w:t>《工业企业厂界环境噪声排放标准》（</w:t>
                  </w:r>
                  <w:r>
                    <w:rPr>
                      <w:szCs w:val="21"/>
                    </w:rPr>
                    <w:t>GB 12348-2008</w:t>
                  </w:r>
                  <w:r>
                    <w:rPr>
                      <w:rFonts w:hint="eastAsia"/>
                      <w:szCs w:val="21"/>
                    </w:rPr>
                    <w:t>）</w:t>
                  </w:r>
                </w:p>
              </w:tc>
              <w:tc>
                <w:tcPr>
                  <w:tcW w:w="1856" w:type="dxa"/>
                  <w:vAlign w:val="center"/>
                </w:tcPr>
                <w:p>
                  <w:pPr>
                    <w:widowControl/>
                    <w:jc w:val="center"/>
                    <w:rPr>
                      <w:szCs w:val="21"/>
                    </w:rPr>
                  </w:pPr>
                  <w:r>
                    <w:rPr>
                      <w:rFonts w:hint="eastAsia"/>
                      <w:szCs w:val="21"/>
                    </w:rPr>
                    <w:t>AWA6288+多功能声级计SMX-003-3</w:t>
                  </w:r>
                </w:p>
              </w:tc>
              <w:tc>
                <w:tcPr>
                  <w:tcW w:w="1045" w:type="dxa"/>
                  <w:vAlign w:val="center"/>
                </w:tcPr>
                <w:p>
                  <w:pPr>
                    <w:widowControl/>
                    <w:jc w:val="center"/>
                    <w:rPr>
                      <w:szCs w:val="21"/>
                    </w:rPr>
                  </w:pPr>
                  <w:r>
                    <w:rPr>
                      <w:rFonts w:hint="eastAsia"/>
                      <w:szCs w:val="21"/>
                    </w:rPr>
                    <w:t>/</w:t>
                  </w:r>
                </w:p>
              </w:tc>
            </w:tr>
          </w:tbl>
          <w:p>
            <w:pPr>
              <w:spacing w:line="360" w:lineRule="auto"/>
              <w:rPr>
                <w:b/>
                <w:bCs/>
                <w:sz w:val="24"/>
              </w:rPr>
            </w:pPr>
            <w:r>
              <w:rPr>
                <w:b/>
                <w:bCs/>
                <w:sz w:val="24"/>
              </w:rPr>
              <w:t>3、废气监测分析过程中的质量保证和质量控制</w:t>
            </w:r>
          </w:p>
          <w:p>
            <w:pPr>
              <w:spacing w:line="360" w:lineRule="auto"/>
              <w:ind w:firstLine="480" w:firstLineChars="200"/>
              <w:rPr>
                <w:rFonts w:eastAsiaTheme="minorEastAsia"/>
                <w:sz w:val="24"/>
              </w:rPr>
            </w:pPr>
            <w:r>
              <w:rPr>
                <w:rFonts w:eastAsiaTheme="minorEastAsia"/>
                <w:sz w:val="24"/>
              </w:rPr>
              <w:t>废气验收监测质量控制与质量保证按照《固定源废气监测技术规范》(HJ/T397-2007)、《固定污染源监测质量保证与质量控制技术规范(试行)》(HJ/T373-2007)、《大气污染物无组织排放监测技术导则》(HJ/T55-2000)中有关规定执行。尽量避免被测排放物中共存污染物因子对仪器分析的交叉干扰；被测排放物的浓度应在仪器测试量程的有效范围即仪器量程的30～70%之间。对采样仪器的流量计</w:t>
            </w:r>
            <w:r>
              <w:rPr>
                <w:rFonts w:hint="eastAsia" w:eastAsiaTheme="minorEastAsia"/>
                <w:sz w:val="24"/>
              </w:rPr>
              <w:t>在</w:t>
            </w:r>
            <w:r>
              <w:rPr>
                <w:rFonts w:eastAsiaTheme="minorEastAsia"/>
                <w:sz w:val="24"/>
              </w:rPr>
              <w:t>采样前后进行校准。</w:t>
            </w:r>
          </w:p>
          <w:p>
            <w:pPr>
              <w:pStyle w:val="32"/>
              <w:numPr>
                <w:ilvl w:val="0"/>
                <w:numId w:val="5"/>
              </w:numPr>
              <w:spacing w:line="360" w:lineRule="auto"/>
              <w:ind w:firstLineChars="0"/>
              <w:rPr>
                <w:b/>
                <w:bCs/>
                <w:sz w:val="24"/>
              </w:rPr>
            </w:pPr>
            <w:r>
              <w:rPr>
                <w:b/>
                <w:bCs/>
                <w:sz w:val="24"/>
              </w:rPr>
              <w:t>废</w:t>
            </w:r>
            <w:r>
              <w:rPr>
                <w:rFonts w:hint="eastAsia"/>
                <w:b/>
                <w:bCs/>
                <w:sz w:val="24"/>
              </w:rPr>
              <w:t>水</w:t>
            </w:r>
            <w:r>
              <w:rPr>
                <w:b/>
                <w:bCs/>
                <w:sz w:val="24"/>
              </w:rPr>
              <w:t>监测分析过程中的质量保证和质量控制</w:t>
            </w:r>
          </w:p>
          <w:p>
            <w:pPr>
              <w:spacing w:line="360" w:lineRule="auto"/>
              <w:ind w:firstLine="480" w:firstLineChars="200"/>
              <w:rPr>
                <w:sz w:val="24"/>
              </w:rPr>
            </w:pPr>
            <w:r>
              <w:rPr>
                <w:sz w:val="24"/>
              </w:rPr>
              <w:t>水样的采集、运输、保存、实验室分析和数据计算的全过程均按照《地表水和污水监测技术规范》(HJ/T91-2002)、《水和废水监测分析方法》</w:t>
            </w:r>
            <w:r>
              <w:rPr>
                <w:rFonts w:hint="eastAsia"/>
                <w:sz w:val="24"/>
              </w:rPr>
              <w:t>（</w:t>
            </w:r>
            <w:r>
              <w:rPr>
                <w:sz w:val="24"/>
              </w:rPr>
              <w:t>第四版</w:t>
            </w:r>
            <w:r>
              <w:rPr>
                <w:rFonts w:hint="eastAsia"/>
                <w:sz w:val="24"/>
              </w:rPr>
              <w:t>)</w:t>
            </w:r>
            <w:r>
              <w:rPr>
                <w:sz w:val="24"/>
              </w:rPr>
              <w:t>的要求进行。质量控制结果具体见</w:t>
            </w:r>
            <w:r>
              <w:rPr>
                <w:rFonts w:hint="eastAsia"/>
                <w:sz w:val="24"/>
              </w:rPr>
              <w:t>下表</w:t>
            </w:r>
            <w:r>
              <w:rPr>
                <w:sz w:val="24"/>
              </w:rPr>
              <w:t>。</w:t>
            </w:r>
          </w:p>
          <w:p>
            <w:pPr>
              <w:spacing w:line="360" w:lineRule="auto"/>
              <w:jc w:val="center"/>
              <w:rPr>
                <w:b/>
                <w:bCs/>
                <w:sz w:val="24"/>
              </w:rPr>
            </w:pPr>
          </w:p>
          <w:p>
            <w:pPr>
              <w:spacing w:line="360" w:lineRule="auto"/>
              <w:jc w:val="center"/>
              <w:rPr>
                <w:b/>
                <w:bCs/>
                <w:sz w:val="24"/>
              </w:rPr>
            </w:pPr>
            <w:r>
              <w:rPr>
                <w:rFonts w:hint="eastAsia"/>
                <w:b/>
                <w:bCs/>
                <w:sz w:val="24"/>
              </w:rPr>
              <w:t>表6-2  废水监测数据质控表</w:t>
            </w:r>
          </w:p>
          <w:tbl>
            <w:tblPr>
              <w:tblStyle w:val="18"/>
              <w:tblW w:w="90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53"/>
              <w:gridCol w:w="801"/>
              <w:gridCol w:w="800"/>
              <w:gridCol w:w="802"/>
              <w:gridCol w:w="800"/>
              <w:gridCol w:w="1067"/>
              <w:gridCol w:w="934"/>
              <w:gridCol w:w="800"/>
              <w:gridCol w:w="1031"/>
              <w:gridCol w:w="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82" w:hRule="exact"/>
                <w:jc w:val="center"/>
              </w:trPr>
              <w:tc>
                <w:tcPr>
                  <w:tcW w:w="1253" w:type="dxa"/>
                  <w:vMerge w:val="restart"/>
                  <w:vAlign w:val="center"/>
                </w:tcPr>
                <w:p>
                  <w:pPr>
                    <w:jc w:val="center"/>
                    <w:rPr>
                      <w:b/>
                      <w:szCs w:val="21"/>
                    </w:rPr>
                  </w:pPr>
                  <w:r>
                    <w:rPr>
                      <w:b/>
                      <w:szCs w:val="21"/>
                    </w:rPr>
                    <w:t>因子</w:t>
                  </w:r>
                </w:p>
              </w:tc>
              <w:tc>
                <w:tcPr>
                  <w:tcW w:w="801" w:type="dxa"/>
                  <w:vMerge w:val="restart"/>
                  <w:vAlign w:val="center"/>
                </w:tcPr>
                <w:p>
                  <w:pPr>
                    <w:jc w:val="center"/>
                    <w:rPr>
                      <w:b/>
                      <w:szCs w:val="21"/>
                    </w:rPr>
                  </w:pPr>
                  <w:r>
                    <w:rPr>
                      <w:b/>
                      <w:szCs w:val="21"/>
                    </w:rPr>
                    <w:t>样品数</w:t>
                  </w:r>
                </w:p>
                <w:p>
                  <w:pPr>
                    <w:jc w:val="center"/>
                    <w:rPr>
                      <w:b/>
                      <w:szCs w:val="21"/>
                    </w:rPr>
                  </w:pPr>
                  <w:r>
                    <w:rPr>
                      <w:b/>
                      <w:szCs w:val="21"/>
                    </w:rPr>
                    <w:t>（个）</w:t>
                  </w:r>
                </w:p>
              </w:tc>
              <w:tc>
                <w:tcPr>
                  <w:tcW w:w="1602" w:type="dxa"/>
                  <w:gridSpan w:val="2"/>
                  <w:vAlign w:val="center"/>
                </w:tcPr>
                <w:p>
                  <w:pPr>
                    <w:jc w:val="center"/>
                    <w:rPr>
                      <w:b/>
                      <w:szCs w:val="21"/>
                    </w:rPr>
                  </w:pPr>
                  <w:r>
                    <w:rPr>
                      <w:b/>
                      <w:szCs w:val="21"/>
                    </w:rPr>
                    <w:t>平行样分析</w:t>
                  </w:r>
                </w:p>
              </w:tc>
              <w:tc>
                <w:tcPr>
                  <w:tcW w:w="2801" w:type="dxa"/>
                  <w:gridSpan w:val="3"/>
                  <w:vAlign w:val="center"/>
                </w:tcPr>
                <w:p>
                  <w:pPr>
                    <w:jc w:val="center"/>
                    <w:rPr>
                      <w:b/>
                      <w:szCs w:val="21"/>
                    </w:rPr>
                  </w:pPr>
                  <w:r>
                    <w:rPr>
                      <w:b/>
                      <w:szCs w:val="21"/>
                    </w:rPr>
                    <w:t>质控样分析</w:t>
                  </w:r>
                </w:p>
              </w:tc>
              <w:tc>
                <w:tcPr>
                  <w:tcW w:w="1831" w:type="dxa"/>
                  <w:gridSpan w:val="2"/>
                  <w:vAlign w:val="center"/>
                </w:tcPr>
                <w:p>
                  <w:pPr>
                    <w:jc w:val="center"/>
                    <w:rPr>
                      <w:b/>
                      <w:szCs w:val="21"/>
                    </w:rPr>
                  </w:pPr>
                  <w:r>
                    <w:rPr>
                      <w:b/>
                      <w:szCs w:val="21"/>
                    </w:rPr>
                    <w:t>加标回收</w:t>
                  </w:r>
                </w:p>
              </w:tc>
              <w:tc>
                <w:tcPr>
                  <w:tcW w:w="800" w:type="dxa"/>
                  <w:vMerge w:val="restart"/>
                  <w:vAlign w:val="center"/>
                </w:tcPr>
                <w:p>
                  <w:pPr>
                    <w:jc w:val="center"/>
                    <w:rPr>
                      <w:b/>
                      <w:szCs w:val="21"/>
                    </w:rPr>
                  </w:pPr>
                  <w:r>
                    <w:rPr>
                      <w:b/>
                      <w:szCs w:val="21"/>
                    </w:rPr>
                    <w:t>质控结果评价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64" w:hRule="exact"/>
                <w:jc w:val="center"/>
              </w:trPr>
              <w:tc>
                <w:tcPr>
                  <w:tcW w:w="1253" w:type="dxa"/>
                  <w:vMerge w:val="continue"/>
                  <w:vAlign w:val="center"/>
                </w:tcPr>
                <w:p>
                  <w:pPr>
                    <w:jc w:val="center"/>
                    <w:rPr>
                      <w:b/>
                      <w:szCs w:val="21"/>
                    </w:rPr>
                  </w:pPr>
                </w:p>
              </w:tc>
              <w:tc>
                <w:tcPr>
                  <w:tcW w:w="801" w:type="dxa"/>
                  <w:vMerge w:val="continue"/>
                  <w:vAlign w:val="center"/>
                </w:tcPr>
                <w:p>
                  <w:pPr>
                    <w:jc w:val="center"/>
                    <w:rPr>
                      <w:b/>
                      <w:szCs w:val="21"/>
                    </w:rPr>
                  </w:pPr>
                </w:p>
              </w:tc>
              <w:tc>
                <w:tcPr>
                  <w:tcW w:w="800" w:type="dxa"/>
                  <w:vAlign w:val="center"/>
                </w:tcPr>
                <w:p>
                  <w:pPr>
                    <w:jc w:val="center"/>
                    <w:rPr>
                      <w:b/>
                      <w:szCs w:val="21"/>
                    </w:rPr>
                  </w:pPr>
                  <w:r>
                    <w:rPr>
                      <w:b/>
                      <w:szCs w:val="21"/>
                    </w:rPr>
                    <w:t>平行样（个）</w:t>
                  </w:r>
                </w:p>
              </w:tc>
              <w:tc>
                <w:tcPr>
                  <w:tcW w:w="802" w:type="dxa"/>
                  <w:vAlign w:val="center"/>
                </w:tcPr>
                <w:p>
                  <w:pPr>
                    <w:jc w:val="center"/>
                    <w:rPr>
                      <w:b/>
                      <w:szCs w:val="21"/>
                    </w:rPr>
                  </w:pPr>
                  <w:r>
                    <w:rPr>
                      <w:b/>
                      <w:szCs w:val="21"/>
                    </w:rPr>
                    <w:t>平行样比例（%）</w:t>
                  </w:r>
                </w:p>
              </w:tc>
              <w:tc>
                <w:tcPr>
                  <w:tcW w:w="800" w:type="dxa"/>
                  <w:vAlign w:val="center"/>
                </w:tcPr>
                <w:p>
                  <w:pPr>
                    <w:jc w:val="center"/>
                    <w:rPr>
                      <w:b/>
                      <w:szCs w:val="21"/>
                    </w:rPr>
                  </w:pPr>
                  <w:r>
                    <w:rPr>
                      <w:b/>
                      <w:szCs w:val="21"/>
                    </w:rPr>
                    <w:t>质控样</w:t>
                  </w:r>
                </w:p>
                <w:p>
                  <w:pPr>
                    <w:jc w:val="center"/>
                    <w:rPr>
                      <w:b/>
                      <w:szCs w:val="21"/>
                    </w:rPr>
                  </w:pPr>
                  <w:r>
                    <w:rPr>
                      <w:b/>
                      <w:szCs w:val="21"/>
                    </w:rPr>
                    <w:t>（个）</w:t>
                  </w:r>
                </w:p>
              </w:tc>
              <w:tc>
                <w:tcPr>
                  <w:tcW w:w="1067" w:type="dxa"/>
                  <w:vAlign w:val="center"/>
                </w:tcPr>
                <w:p>
                  <w:pPr>
                    <w:jc w:val="center"/>
                    <w:rPr>
                      <w:b/>
                      <w:szCs w:val="21"/>
                    </w:rPr>
                  </w:pPr>
                  <w:r>
                    <w:rPr>
                      <w:b/>
                      <w:szCs w:val="21"/>
                    </w:rPr>
                    <w:t>质控样浓度</w:t>
                  </w:r>
                  <w:r>
                    <w:rPr>
                      <w:rFonts w:hint="eastAsia"/>
                      <w:b/>
                      <w:szCs w:val="21"/>
                    </w:rPr>
                    <w:t>（除pH外mg/L）</w:t>
                  </w:r>
                </w:p>
              </w:tc>
              <w:tc>
                <w:tcPr>
                  <w:tcW w:w="934" w:type="dxa"/>
                  <w:vAlign w:val="center"/>
                </w:tcPr>
                <w:p>
                  <w:pPr>
                    <w:jc w:val="center"/>
                    <w:rPr>
                      <w:b/>
                      <w:szCs w:val="21"/>
                    </w:rPr>
                  </w:pPr>
                  <w:r>
                    <w:rPr>
                      <w:rFonts w:hint="eastAsia"/>
                      <w:b/>
                      <w:szCs w:val="21"/>
                    </w:rPr>
                    <w:t>相对</w:t>
                  </w:r>
                  <w:r>
                    <w:rPr>
                      <w:b/>
                      <w:szCs w:val="21"/>
                    </w:rPr>
                    <w:t>偏差</w:t>
                  </w:r>
                </w:p>
                <w:p>
                  <w:pPr>
                    <w:jc w:val="center"/>
                    <w:rPr>
                      <w:b/>
                      <w:szCs w:val="21"/>
                    </w:rPr>
                  </w:pPr>
                  <w:r>
                    <w:rPr>
                      <w:rFonts w:hint="eastAsia"/>
                      <w:b/>
                      <w:szCs w:val="21"/>
                    </w:rPr>
                    <w:t>（%）</w:t>
                  </w:r>
                </w:p>
              </w:tc>
              <w:tc>
                <w:tcPr>
                  <w:tcW w:w="800" w:type="dxa"/>
                  <w:vAlign w:val="center"/>
                </w:tcPr>
                <w:p>
                  <w:pPr>
                    <w:jc w:val="center"/>
                    <w:rPr>
                      <w:b/>
                      <w:szCs w:val="21"/>
                    </w:rPr>
                  </w:pPr>
                  <w:r>
                    <w:rPr>
                      <w:b/>
                      <w:szCs w:val="21"/>
                    </w:rPr>
                    <w:t>加标样数量</w:t>
                  </w:r>
                </w:p>
                <w:p>
                  <w:pPr>
                    <w:jc w:val="center"/>
                    <w:rPr>
                      <w:b/>
                      <w:szCs w:val="21"/>
                    </w:rPr>
                  </w:pPr>
                  <w:r>
                    <w:rPr>
                      <w:rFonts w:hint="eastAsia"/>
                      <w:b/>
                      <w:szCs w:val="21"/>
                    </w:rPr>
                    <w:t>（个）</w:t>
                  </w:r>
                </w:p>
              </w:tc>
              <w:tc>
                <w:tcPr>
                  <w:tcW w:w="1031" w:type="dxa"/>
                  <w:vAlign w:val="center"/>
                </w:tcPr>
                <w:p>
                  <w:pPr>
                    <w:jc w:val="center"/>
                    <w:rPr>
                      <w:b/>
                      <w:szCs w:val="21"/>
                    </w:rPr>
                  </w:pPr>
                  <w:r>
                    <w:rPr>
                      <w:b/>
                      <w:szCs w:val="21"/>
                    </w:rPr>
                    <w:t>回收率</w:t>
                  </w:r>
                </w:p>
                <w:p>
                  <w:pPr>
                    <w:jc w:val="center"/>
                    <w:rPr>
                      <w:b/>
                      <w:szCs w:val="21"/>
                    </w:rPr>
                  </w:pPr>
                  <w:r>
                    <w:rPr>
                      <w:b/>
                      <w:szCs w:val="21"/>
                    </w:rPr>
                    <w:t>（%）</w:t>
                  </w:r>
                </w:p>
              </w:tc>
              <w:tc>
                <w:tcPr>
                  <w:tcW w:w="800" w:type="dxa"/>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szCs w:val="21"/>
                    </w:rPr>
                    <w:t>pH值</w:t>
                  </w:r>
                </w:p>
                <w:p>
                  <w:pPr>
                    <w:jc w:val="center"/>
                    <w:rPr>
                      <w:szCs w:val="21"/>
                    </w:rPr>
                  </w:pPr>
                  <w:r>
                    <w:rPr>
                      <w:rFonts w:hint="eastAsia"/>
                      <w:szCs w:val="21"/>
                    </w:rPr>
                    <w:t>（无量纲）</w:t>
                  </w:r>
                </w:p>
              </w:tc>
              <w:tc>
                <w:tcPr>
                  <w:tcW w:w="801" w:type="dxa"/>
                  <w:vAlign w:val="center"/>
                </w:tcPr>
                <w:p>
                  <w:pPr>
                    <w:jc w:val="center"/>
                    <w:rPr>
                      <w:szCs w:val="21"/>
                    </w:rPr>
                  </w:pPr>
                  <w:r>
                    <w:rPr>
                      <w:rFonts w:hint="eastAsia"/>
                      <w:szCs w:val="21"/>
                    </w:rPr>
                    <w:t>12</w:t>
                  </w:r>
                </w:p>
              </w:tc>
              <w:tc>
                <w:tcPr>
                  <w:tcW w:w="800" w:type="dxa"/>
                  <w:vAlign w:val="center"/>
                </w:tcPr>
                <w:p>
                  <w:pPr>
                    <w:jc w:val="center"/>
                    <w:rPr>
                      <w:szCs w:val="21"/>
                    </w:rPr>
                  </w:pPr>
                  <w:r>
                    <w:rPr>
                      <w:rFonts w:hint="eastAsia"/>
                      <w:szCs w:val="21"/>
                    </w:rPr>
                    <w:t>12</w:t>
                  </w:r>
                </w:p>
              </w:tc>
              <w:tc>
                <w:tcPr>
                  <w:tcW w:w="802" w:type="dxa"/>
                  <w:vAlign w:val="center"/>
                </w:tcPr>
                <w:p>
                  <w:pPr>
                    <w:jc w:val="center"/>
                    <w:rPr>
                      <w:szCs w:val="21"/>
                    </w:rPr>
                  </w:pPr>
                  <w:r>
                    <w:rPr>
                      <w:rFonts w:hint="eastAsia"/>
                      <w:szCs w:val="21"/>
                    </w:rPr>
                    <w:t>100</w:t>
                  </w:r>
                </w:p>
              </w:tc>
              <w:tc>
                <w:tcPr>
                  <w:tcW w:w="800" w:type="dxa"/>
                  <w:vAlign w:val="center"/>
                </w:tcPr>
                <w:p>
                  <w:pPr>
                    <w:jc w:val="center"/>
                    <w:rPr>
                      <w:szCs w:val="21"/>
                    </w:rPr>
                  </w:pPr>
                  <w:r>
                    <w:rPr>
                      <w:rFonts w:hint="eastAsia"/>
                      <w:szCs w:val="21"/>
                    </w:rPr>
                    <w:t>24</w:t>
                  </w:r>
                </w:p>
              </w:tc>
              <w:tc>
                <w:tcPr>
                  <w:tcW w:w="1067" w:type="dxa"/>
                  <w:vAlign w:val="center"/>
                </w:tcPr>
                <w:p>
                  <w:pPr>
                    <w:jc w:val="center"/>
                    <w:rPr>
                      <w:szCs w:val="21"/>
                    </w:rPr>
                  </w:pPr>
                  <w:r>
                    <w:rPr>
                      <w:rFonts w:hint="eastAsia"/>
                      <w:szCs w:val="21"/>
                    </w:rPr>
                    <w:t>6.86、9.18</w:t>
                  </w:r>
                </w:p>
              </w:tc>
              <w:tc>
                <w:tcPr>
                  <w:tcW w:w="934"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w:t>
                  </w:r>
                </w:p>
              </w:tc>
              <w:tc>
                <w:tcPr>
                  <w:tcW w:w="1031" w:type="dxa"/>
                  <w:vAlign w:val="center"/>
                </w:tcPr>
                <w:p>
                  <w:pPr>
                    <w:jc w:val="center"/>
                    <w:rPr>
                      <w:szCs w:val="21"/>
                    </w:rPr>
                  </w:pPr>
                  <w:r>
                    <w:rPr>
                      <w:rFonts w:hint="eastAsia"/>
                      <w:szCs w:val="21"/>
                    </w:rPr>
                    <w:t>/</w:t>
                  </w:r>
                </w:p>
              </w:tc>
              <w:tc>
                <w:tcPr>
                  <w:tcW w:w="800" w:type="dxa"/>
                  <w:vAlign w:val="center"/>
                </w:tcPr>
                <w:p>
                  <w:pPr>
                    <w:widowControl/>
                    <w:jc w:val="center"/>
                    <w:textAlignment w:val="center"/>
                    <w:rPr>
                      <w:szCs w:val="21"/>
                    </w:rPr>
                  </w:pPr>
                  <w:r>
                    <w:rPr>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化学</w:t>
                  </w:r>
                  <w:r>
                    <w:rPr>
                      <w:szCs w:val="21"/>
                    </w:rPr>
                    <w:t>需氧量</w:t>
                  </w:r>
                </w:p>
              </w:tc>
              <w:tc>
                <w:tcPr>
                  <w:tcW w:w="801" w:type="dxa"/>
                  <w:vAlign w:val="center"/>
                </w:tcPr>
                <w:p>
                  <w:pPr>
                    <w:jc w:val="center"/>
                  </w:pPr>
                  <w:r>
                    <w:rPr>
                      <w:rFonts w:hint="eastAsia"/>
                      <w:szCs w:val="21"/>
                    </w:rPr>
                    <w:t>12</w:t>
                  </w:r>
                </w:p>
              </w:tc>
              <w:tc>
                <w:tcPr>
                  <w:tcW w:w="800" w:type="dxa"/>
                  <w:vAlign w:val="center"/>
                </w:tcPr>
                <w:p>
                  <w:pPr>
                    <w:jc w:val="center"/>
                    <w:rPr>
                      <w:szCs w:val="21"/>
                    </w:rPr>
                  </w:pPr>
                  <w:r>
                    <w:rPr>
                      <w:rFonts w:hint="eastAsia"/>
                      <w:szCs w:val="21"/>
                    </w:rPr>
                    <w:t>2</w:t>
                  </w:r>
                </w:p>
              </w:tc>
              <w:tc>
                <w:tcPr>
                  <w:tcW w:w="802" w:type="dxa"/>
                  <w:vAlign w:val="center"/>
                </w:tcPr>
                <w:p>
                  <w:pPr>
                    <w:jc w:val="center"/>
                    <w:rPr>
                      <w:szCs w:val="21"/>
                    </w:rPr>
                  </w:pPr>
                  <w:r>
                    <w:rPr>
                      <w:rFonts w:hint="eastAsia"/>
                      <w:szCs w:val="21"/>
                    </w:rPr>
                    <w:t>16.7</w:t>
                  </w:r>
                </w:p>
              </w:tc>
              <w:tc>
                <w:tcPr>
                  <w:tcW w:w="800" w:type="dxa"/>
                  <w:vAlign w:val="center"/>
                </w:tcPr>
                <w:p>
                  <w:pPr>
                    <w:jc w:val="center"/>
                    <w:rPr>
                      <w:szCs w:val="21"/>
                    </w:rPr>
                  </w:pPr>
                  <w:r>
                    <w:rPr>
                      <w:rFonts w:hint="eastAsia"/>
                      <w:szCs w:val="21"/>
                    </w:rPr>
                    <w:t>1</w:t>
                  </w:r>
                </w:p>
              </w:tc>
              <w:tc>
                <w:tcPr>
                  <w:tcW w:w="1067" w:type="dxa"/>
                  <w:vAlign w:val="center"/>
                </w:tcPr>
                <w:p>
                  <w:pPr>
                    <w:jc w:val="center"/>
                    <w:rPr>
                      <w:szCs w:val="21"/>
                    </w:rPr>
                  </w:pPr>
                  <w:r>
                    <w:rPr>
                      <w:rFonts w:hint="eastAsia"/>
                      <w:szCs w:val="21"/>
                    </w:rPr>
                    <w:t>25</w:t>
                  </w:r>
                </w:p>
              </w:tc>
              <w:tc>
                <w:tcPr>
                  <w:tcW w:w="934" w:type="dxa"/>
                  <w:vAlign w:val="center"/>
                </w:tcPr>
                <w:p>
                  <w:pPr>
                    <w:jc w:val="center"/>
                    <w:rPr>
                      <w:szCs w:val="21"/>
                    </w:rPr>
                  </w:pPr>
                  <w:r>
                    <w:rPr>
                      <w:rFonts w:hint="eastAsia"/>
                      <w:szCs w:val="21"/>
                    </w:rPr>
                    <w:t>2.0</w:t>
                  </w:r>
                </w:p>
              </w:tc>
              <w:tc>
                <w:tcPr>
                  <w:tcW w:w="800" w:type="dxa"/>
                  <w:vAlign w:val="center"/>
                </w:tcPr>
                <w:p>
                  <w:pPr>
                    <w:jc w:val="center"/>
                    <w:rPr>
                      <w:szCs w:val="21"/>
                    </w:rPr>
                  </w:pPr>
                  <w:r>
                    <w:rPr>
                      <w:rFonts w:hint="eastAsia"/>
                      <w:szCs w:val="21"/>
                    </w:rPr>
                    <w:t>/</w:t>
                  </w:r>
                </w:p>
              </w:tc>
              <w:tc>
                <w:tcPr>
                  <w:tcW w:w="1031" w:type="dxa"/>
                  <w:vAlign w:val="center"/>
                </w:tcPr>
                <w:p>
                  <w:pPr>
                    <w:jc w:val="center"/>
                    <w:rPr>
                      <w:szCs w:val="21"/>
                    </w:rPr>
                  </w:pPr>
                  <w:r>
                    <w:rPr>
                      <w:rFonts w:hint="eastAsia"/>
                      <w:szCs w:val="21"/>
                    </w:rPr>
                    <w:t>/</w:t>
                  </w:r>
                </w:p>
              </w:tc>
              <w:tc>
                <w:tcPr>
                  <w:tcW w:w="800" w:type="dxa"/>
                  <w:vAlign w:val="center"/>
                </w:tcPr>
                <w:p>
                  <w:pPr>
                    <w:widowControl/>
                    <w:jc w:val="center"/>
                    <w:textAlignment w:val="center"/>
                    <w:rPr>
                      <w:szCs w:val="21"/>
                    </w:rPr>
                  </w:pPr>
                  <w:r>
                    <w:rPr>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悬浮物</w:t>
                  </w:r>
                </w:p>
              </w:tc>
              <w:tc>
                <w:tcPr>
                  <w:tcW w:w="801" w:type="dxa"/>
                  <w:vAlign w:val="center"/>
                </w:tcPr>
                <w:p>
                  <w:pPr>
                    <w:jc w:val="center"/>
                  </w:pPr>
                  <w:r>
                    <w:rPr>
                      <w:rFonts w:hint="eastAsia"/>
                      <w:szCs w:val="21"/>
                    </w:rPr>
                    <w:t>12</w:t>
                  </w:r>
                </w:p>
              </w:tc>
              <w:tc>
                <w:tcPr>
                  <w:tcW w:w="800" w:type="dxa"/>
                  <w:vAlign w:val="center"/>
                </w:tcPr>
                <w:p>
                  <w:pPr>
                    <w:jc w:val="center"/>
                    <w:rPr>
                      <w:szCs w:val="21"/>
                    </w:rPr>
                  </w:pPr>
                  <w:r>
                    <w:rPr>
                      <w:rFonts w:hint="eastAsia"/>
                      <w:szCs w:val="21"/>
                    </w:rPr>
                    <w:t>/</w:t>
                  </w:r>
                </w:p>
              </w:tc>
              <w:tc>
                <w:tcPr>
                  <w:tcW w:w="802"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w:t>
                  </w:r>
                </w:p>
              </w:tc>
              <w:tc>
                <w:tcPr>
                  <w:tcW w:w="1067" w:type="dxa"/>
                  <w:vAlign w:val="center"/>
                </w:tcPr>
                <w:p>
                  <w:pPr>
                    <w:jc w:val="center"/>
                    <w:rPr>
                      <w:szCs w:val="21"/>
                    </w:rPr>
                  </w:pPr>
                  <w:r>
                    <w:rPr>
                      <w:rFonts w:hint="eastAsia"/>
                      <w:szCs w:val="21"/>
                    </w:rPr>
                    <w:t>/</w:t>
                  </w:r>
                </w:p>
              </w:tc>
              <w:tc>
                <w:tcPr>
                  <w:tcW w:w="934"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w:t>
                  </w:r>
                </w:p>
              </w:tc>
              <w:tc>
                <w:tcPr>
                  <w:tcW w:w="1031" w:type="dxa"/>
                  <w:vAlign w:val="center"/>
                </w:tcPr>
                <w:p>
                  <w:pPr>
                    <w:jc w:val="center"/>
                    <w:rPr>
                      <w:szCs w:val="21"/>
                    </w:rPr>
                  </w:pPr>
                  <w:r>
                    <w:rPr>
                      <w:rFonts w:hint="eastAsia"/>
                      <w:szCs w:val="21"/>
                    </w:rPr>
                    <w:t>/</w:t>
                  </w:r>
                </w:p>
              </w:tc>
              <w:tc>
                <w:tcPr>
                  <w:tcW w:w="800" w:type="dxa"/>
                  <w:vAlign w:val="center"/>
                </w:tcPr>
                <w:p>
                  <w:pPr>
                    <w:widowControl/>
                    <w:jc w:val="center"/>
                    <w:textAlignment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氨氮</w:t>
                  </w:r>
                </w:p>
              </w:tc>
              <w:tc>
                <w:tcPr>
                  <w:tcW w:w="801" w:type="dxa"/>
                  <w:vAlign w:val="center"/>
                </w:tcPr>
                <w:p>
                  <w:pPr>
                    <w:jc w:val="center"/>
                    <w:rPr>
                      <w:szCs w:val="21"/>
                    </w:rPr>
                  </w:pPr>
                  <w:r>
                    <w:rPr>
                      <w:rFonts w:hint="eastAsia"/>
                      <w:szCs w:val="21"/>
                    </w:rPr>
                    <w:t>8</w:t>
                  </w:r>
                </w:p>
              </w:tc>
              <w:tc>
                <w:tcPr>
                  <w:tcW w:w="800" w:type="dxa"/>
                  <w:vAlign w:val="center"/>
                </w:tcPr>
                <w:p>
                  <w:pPr>
                    <w:jc w:val="center"/>
                    <w:rPr>
                      <w:szCs w:val="21"/>
                    </w:rPr>
                  </w:pPr>
                  <w:r>
                    <w:rPr>
                      <w:rFonts w:hint="eastAsia"/>
                      <w:szCs w:val="21"/>
                    </w:rPr>
                    <w:t>2</w:t>
                  </w:r>
                </w:p>
              </w:tc>
              <w:tc>
                <w:tcPr>
                  <w:tcW w:w="802" w:type="dxa"/>
                  <w:vAlign w:val="center"/>
                </w:tcPr>
                <w:p>
                  <w:pPr>
                    <w:jc w:val="center"/>
                    <w:rPr>
                      <w:szCs w:val="21"/>
                    </w:rPr>
                  </w:pPr>
                  <w:r>
                    <w:rPr>
                      <w:rFonts w:hint="eastAsia"/>
                      <w:szCs w:val="21"/>
                    </w:rPr>
                    <w:t>25</w:t>
                  </w:r>
                </w:p>
              </w:tc>
              <w:tc>
                <w:tcPr>
                  <w:tcW w:w="800" w:type="dxa"/>
                  <w:vAlign w:val="center"/>
                </w:tcPr>
                <w:p>
                  <w:pPr>
                    <w:jc w:val="center"/>
                    <w:rPr>
                      <w:szCs w:val="21"/>
                    </w:rPr>
                  </w:pPr>
                  <w:r>
                    <w:rPr>
                      <w:rFonts w:hint="eastAsia"/>
                      <w:szCs w:val="21"/>
                    </w:rPr>
                    <w:t>/</w:t>
                  </w:r>
                </w:p>
              </w:tc>
              <w:tc>
                <w:tcPr>
                  <w:tcW w:w="1067" w:type="dxa"/>
                  <w:vAlign w:val="center"/>
                </w:tcPr>
                <w:p>
                  <w:pPr>
                    <w:jc w:val="center"/>
                    <w:rPr>
                      <w:szCs w:val="21"/>
                    </w:rPr>
                  </w:pPr>
                  <w:r>
                    <w:rPr>
                      <w:rFonts w:hint="eastAsia"/>
                      <w:szCs w:val="21"/>
                    </w:rPr>
                    <w:t>/</w:t>
                  </w:r>
                </w:p>
              </w:tc>
              <w:tc>
                <w:tcPr>
                  <w:tcW w:w="934"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2</w:t>
                  </w:r>
                </w:p>
              </w:tc>
              <w:tc>
                <w:tcPr>
                  <w:tcW w:w="1031" w:type="dxa"/>
                  <w:vAlign w:val="center"/>
                </w:tcPr>
                <w:p>
                  <w:pPr>
                    <w:jc w:val="center"/>
                    <w:rPr>
                      <w:szCs w:val="21"/>
                    </w:rPr>
                  </w:pPr>
                  <w:r>
                    <w:rPr>
                      <w:rFonts w:hint="eastAsia"/>
                      <w:szCs w:val="21"/>
                    </w:rPr>
                    <w:t>98.1、95.9</w:t>
                  </w:r>
                </w:p>
              </w:tc>
              <w:tc>
                <w:tcPr>
                  <w:tcW w:w="800" w:type="dxa"/>
                  <w:vAlign w:val="center"/>
                </w:tcPr>
                <w:p>
                  <w:pPr>
                    <w:widowControl/>
                    <w:jc w:val="center"/>
                    <w:textAlignment w:val="center"/>
                    <w:rPr>
                      <w:szCs w:val="21"/>
                    </w:rPr>
                  </w:pPr>
                  <w:r>
                    <w:rPr>
                      <w:rFonts w:hint="eastAsia"/>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总磷</w:t>
                  </w:r>
                </w:p>
              </w:tc>
              <w:tc>
                <w:tcPr>
                  <w:tcW w:w="801" w:type="dxa"/>
                  <w:vAlign w:val="center"/>
                </w:tcPr>
                <w:p>
                  <w:pPr>
                    <w:jc w:val="center"/>
                    <w:rPr>
                      <w:szCs w:val="21"/>
                    </w:rPr>
                  </w:pPr>
                  <w:r>
                    <w:rPr>
                      <w:rFonts w:hint="eastAsia"/>
                      <w:szCs w:val="21"/>
                    </w:rPr>
                    <w:t>8</w:t>
                  </w:r>
                </w:p>
              </w:tc>
              <w:tc>
                <w:tcPr>
                  <w:tcW w:w="800" w:type="dxa"/>
                  <w:vAlign w:val="center"/>
                </w:tcPr>
                <w:p>
                  <w:pPr>
                    <w:jc w:val="center"/>
                    <w:rPr>
                      <w:szCs w:val="21"/>
                    </w:rPr>
                  </w:pPr>
                  <w:r>
                    <w:rPr>
                      <w:rFonts w:hint="eastAsia"/>
                      <w:szCs w:val="21"/>
                    </w:rPr>
                    <w:t>2</w:t>
                  </w:r>
                </w:p>
              </w:tc>
              <w:tc>
                <w:tcPr>
                  <w:tcW w:w="802" w:type="dxa"/>
                  <w:vAlign w:val="center"/>
                </w:tcPr>
                <w:p>
                  <w:pPr>
                    <w:jc w:val="center"/>
                    <w:rPr>
                      <w:szCs w:val="21"/>
                    </w:rPr>
                  </w:pPr>
                  <w:r>
                    <w:rPr>
                      <w:rFonts w:hint="eastAsia"/>
                      <w:szCs w:val="21"/>
                    </w:rPr>
                    <w:t>25</w:t>
                  </w:r>
                </w:p>
              </w:tc>
              <w:tc>
                <w:tcPr>
                  <w:tcW w:w="800" w:type="dxa"/>
                  <w:vAlign w:val="center"/>
                </w:tcPr>
                <w:p>
                  <w:pPr>
                    <w:jc w:val="center"/>
                    <w:rPr>
                      <w:szCs w:val="21"/>
                    </w:rPr>
                  </w:pPr>
                  <w:r>
                    <w:rPr>
                      <w:rFonts w:hint="eastAsia"/>
                      <w:szCs w:val="21"/>
                    </w:rPr>
                    <w:t>/</w:t>
                  </w:r>
                </w:p>
              </w:tc>
              <w:tc>
                <w:tcPr>
                  <w:tcW w:w="1067" w:type="dxa"/>
                  <w:vAlign w:val="center"/>
                </w:tcPr>
                <w:p>
                  <w:pPr>
                    <w:jc w:val="center"/>
                    <w:rPr>
                      <w:szCs w:val="21"/>
                    </w:rPr>
                  </w:pPr>
                  <w:r>
                    <w:rPr>
                      <w:rFonts w:hint="eastAsia"/>
                      <w:szCs w:val="21"/>
                    </w:rPr>
                    <w:t>/</w:t>
                  </w:r>
                </w:p>
              </w:tc>
              <w:tc>
                <w:tcPr>
                  <w:tcW w:w="934"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2</w:t>
                  </w:r>
                </w:p>
              </w:tc>
              <w:tc>
                <w:tcPr>
                  <w:tcW w:w="1031" w:type="dxa"/>
                  <w:vAlign w:val="center"/>
                </w:tcPr>
                <w:p>
                  <w:pPr>
                    <w:jc w:val="center"/>
                    <w:rPr>
                      <w:szCs w:val="21"/>
                    </w:rPr>
                  </w:pPr>
                  <w:r>
                    <w:rPr>
                      <w:rFonts w:hint="eastAsia"/>
                      <w:szCs w:val="21"/>
                    </w:rPr>
                    <w:t>99.7、102</w:t>
                  </w:r>
                </w:p>
              </w:tc>
              <w:tc>
                <w:tcPr>
                  <w:tcW w:w="800" w:type="dxa"/>
                  <w:vAlign w:val="center"/>
                </w:tcPr>
                <w:p>
                  <w:pPr>
                    <w:widowControl/>
                    <w:jc w:val="center"/>
                    <w:textAlignment w:val="center"/>
                    <w:rPr>
                      <w:szCs w:val="21"/>
                    </w:rPr>
                  </w:pPr>
                  <w:r>
                    <w:rPr>
                      <w:rFonts w:hint="eastAsia"/>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石油类</w:t>
                  </w:r>
                </w:p>
              </w:tc>
              <w:tc>
                <w:tcPr>
                  <w:tcW w:w="801" w:type="dxa"/>
                  <w:vAlign w:val="center"/>
                </w:tcPr>
                <w:p>
                  <w:pPr>
                    <w:jc w:val="center"/>
                    <w:rPr>
                      <w:szCs w:val="21"/>
                    </w:rPr>
                  </w:pPr>
                  <w:r>
                    <w:rPr>
                      <w:rFonts w:hint="eastAsia"/>
                      <w:szCs w:val="21"/>
                    </w:rPr>
                    <w:t>8</w:t>
                  </w:r>
                </w:p>
              </w:tc>
              <w:tc>
                <w:tcPr>
                  <w:tcW w:w="800" w:type="dxa"/>
                  <w:vAlign w:val="center"/>
                </w:tcPr>
                <w:p>
                  <w:pPr>
                    <w:jc w:val="center"/>
                    <w:rPr>
                      <w:szCs w:val="21"/>
                    </w:rPr>
                  </w:pPr>
                  <w:r>
                    <w:rPr>
                      <w:rFonts w:hint="eastAsia"/>
                      <w:szCs w:val="21"/>
                    </w:rPr>
                    <w:t>/</w:t>
                  </w:r>
                </w:p>
              </w:tc>
              <w:tc>
                <w:tcPr>
                  <w:tcW w:w="802"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1</w:t>
                  </w:r>
                </w:p>
              </w:tc>
              <w:tc>
                <w:tcPr>
                  <w:tcW w:w="1067" w:type="dxa"/>
                  <w:vAlign w:val="center"/>
                </w:tcPr>
                <w:p>
                  <w:pPr>
                    <w:jc w:val="center"/>
                    <w:rPr>
                      <w:szCs w:val="21"/>
                    </w:rPr>
                  </w:pPr>
                  <w:r>
                    <w:rPr>
                      <w:rFonts w:hint="eastAsia"/>
                      <w:szCs w:val="21"/>
                    </w:rPr>
                    <w:t>20.0</w:t>
                  </w:r>
                </w:p>
              </w:tc>
              <w:tc>
                <w:tcPr>
                  <w:tcW w:w="934" w:type="dxa"/>
                  <w:vAlign w:val="center"/>
                </w:tcPr>
                <w:p>
                  <w:pPr>
                    <w:jc w:val="center"/>
                    <w:rPr>
                      <w:szCs w:val="21"/>
                    </w:rPr>
                  </w:pPr>
                  <w:r>
                    <w:rPr>
                      <w:rFonts w:hint="eastAsia"/>
                      <w:szCs w:val="21"/>
                    </w:rPr>
                    <w:t>-1.5</w:t>
                  </w:r>
                </w:p>
              </w:tc>
              <w:tc>
                <w:tcPr>
                  <w:tcW w:w="800" w:type="dxa"/>
                  <w:vAlign w:val="center"/>
                </w:tcPr>
                <w:p>
                  <w:pPr>
                    <w:jc w:val="center"/>
                    <w:rPr>
                      <w:szCs w:val="21"/>
                    </w:rPr>
                  </w:pPr>
                  <w:r>
                    <w:rPr>
                      <w:rFonts w:hint="eastAsia"/>
                      <w:szCs w:val="21"/>
                    </w:rPr>
                    <w:t>/</w:t>
                  </w:r>
                </w:p>
              </w:tc>
              <w:tc>
                <w:tcPr>
                  <w:tcW w:w="1031"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rFonts w:hint="eastAsia"/>
                      <w:szCs w:val="21"/>
                    </w:rPr>
                    <w:t>动植物油类</w:t>
                  </w:r>
                </w:p>
              </w:tc>
              <w:tc>
                <w:tcPr>
                  <w:tcW w:w="801" w:type="dxa"/>
                  <w:vAlign w:val="center"/>
                </w:tcPr>
                <w:p>
                  <w:pPr>
                    <w:jc w:val="center"/>
                    <w:rPr>
                      <w:szCs w:val="21"/>
                    </w:rPr>
                  </w:pPr>
                  <w:r>
                    <w:rPr>
                      <w:rFonts w:hint="eastAsia"/>
                      <w:szCs w:val="21"/>
                    </w:rPr>
                    <w:t>8</w:t>
                  </w:r>
                </w:p>
              </w:tc>
              <w:tc>
                <w:tcPr>
                  <w:tcW w:w="800" w:type="dxa"/>
                  <w:vAlign w:val="center"/>
                </w:tcPr>
                <w:p>
                  <w:pPr>
                    <w:jc w:val="center"/>
                    <w:rPr>
                      <w:szCs w:val="21"/>
                    </w:rPr>
                  </w:pPr>
                  <w:r>
                    <w:rPr>
                      <w:rFonts w:hint="eastAsia"/>
                      <w:szCs w:val="21"/>
                    </w:rPr>
                    <w:t>/</w:t>
                  </w:r>
                </w:p>
              </w:tc>
              <w:tc>
                <w:tcPr>
                  <w:tcW w:w="802"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1</w:t>
                  </w:r>
                </w:p>
              </w:tc>
              <w:tc>
                <w:tcPr>
                  <w:tcW w:w="1067" w:type="dxa"/>
                  <w:vAlign w:val="center"/>
                </w:tcPr>
                <w:p>
                  <w:pPr>
                    <w:jc w:val="center"/>
                    <w:rPr>
                      <w:szCs w:val="21"/>
                    </w:rPr>
                  </w:pPr>
                  <w:r>
                    <w:rPr>
                      <w:rFonts w:hint="eastAsia"/>
                      <w:szCs w:val="21"/>
                    </w:rPr>
                    <w:t>20.0</w:t>
                  </w:r>
                </w:p>
              </w:tc>
              <w:tc>
                <w:tcPr>
                  <w:tcW w:w="934" w:type="dxa"/>
                  <w:vAlign w:val="center"/>
                </w:tcPr>
                <w:p>
                  <w:pPr>
                    <w:jc w:val="center"/>
                    <w:rPr>
                      <w:szCs w:val="21"/>
                    </w:rPr>
                  </w:pPr>
                  <w:r>
                    <w:rPr>
                      <w:rFonts w:hint="eastAsia"/>
                      <w:szCs w:val="21"/>
                    </w:rPr>
                    <w:t>-1.5</w:t>
                  </w:r>
                </w:p>
              </w:tc>
              <w:tc>
                <w:tcPr>
                  <w:tcW w:w="800" w:type="dxa"/>
                  <w:vAlign w:val="center"/>
                </w:tcPr>
                <w:p>
                  <w:pPr>
                    <w:jc w:val="center"/>
                    <w:rPr>
                      <w:szCs w:val="21"/>
                    </w:rPr>
                  </w:pPr>
                  <w:r>
                    <w:rPr>
                      <w:rFonts w:hint="eastAsia"/>
                      <w:szCs w:val="21"/>
                    </w:rPr>
                    <w:t>/</w:t>
                  </w:r>
                </w:p>
              </w:tc>
              <w:tc>
                <w:tcPr>
                  <w:tcW w:w="1031" w:type="dxa"/>
                  <w:vAlign w:val="center"/>
                </w:tcPr>
                <w:p>
                  <w:pPr>
                    <w:jc w:val="center"/>
                    <w:rPr>
                      <w:szCs w:val="21"/>
                    </w:rPr>
                  </w:pPr>
                  <w:r>
                    <w:rPr>
                      <w:rFonts w:hint="eastAsia"/>
                      <w:szCs w:val="21"/>
                    </w:rPr>
                    <w:t>/</w:t>
                  </w:r>
                </w:p>
              </w:tc>
              <w:tc>
                <w:tcPr>
                  <w:tcW w:w="800" w:type="dxa"/>
                  <w:vAlign w:val="center"/>
                </w:tcPr>
                <w:p>
                  <w:pPr>
                    <w:jc w:val="center"/>
                    <w:rPr>
                      <w:szCs w:val="21"/>
                    </w:rPr>
                  </w:pPr>
                  <w:r>
                    <w:rPr>
                      <w:rFonts w:hint="eastAsia"/>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1253" w:type="dxa"/>
                  <w:vAlign w:val="center"/>
                </w:tcPr>
                <w:p>
                  <w:pPr>
                    <w:jc w:val="center"/>
                    <w:rPr>
                      <w:szCs w:val="21"/>
                    </w:rPr>
                  </w:pPr>
                  <w:r>
                    <w:rPr>
                      <w:szCs w:val="21"/>
                    </w:rPr>
                    <w:t>备注</w:t>
                  </w:r>
                </w:p>
              </w:tc>
              <w:tc>
                <w:tcPr>
                  <w:tcW w:w="7835" w:type="dxa"/>
                  <w:gridSpan w:val="9"/>
                  <w:vAlign w:val="center"/>
                </w:tcPr>
                <w:p>
                  <w:pPr>
                    <w:widowControl/>
                    <w:jc w:val="center"/>
                    <w:textAlignment w:val="center"/>
                    <w:rPr>
                      <w:szCs w:val="21"/>
                    </w:rPr>
                  </w:pPr>
                  <w:r>
                    <w:rPr>
                      <w:rFonts w:hint="eastAsia"/>
                      <w:szCs w:val="21"/>
                    </w:rPr>
                    <w:t>质控样评价指标：相对偏差≤±10%；加标回收评价指标：回收率90%~110%。</w:t>
                  </w:r>
                </w:p>
              </w:tc>
            </w:tr>
          </w:tbl>
          <w:p>
            <w:pPr>
              <w:spacing w:line="360" w:lineRule="auto"/>
              <w:rPr>
                <w:b/>
                <w:bCs/>
                <w:sz w:val="24"/>
              </w:rPr>
            </w:pPr>
            <w:r>
              <w:rPr>
                <w:rFonts w:hint="eastAsia"/>
                <w:b/>
                <w:bCs/>
                <w:sz w:val="24"/>
              </w:rPr>
              <w:t>5、</w:t>
            </w:r>
            <w:r>
              <w:rPr>
                <w:b/>
                <w:bCs/>
                <w:sz w:val="24"/>
              </w:rPr>
              <w:t>噪声监测分析过程中的质量保证和质量控制</w:t>
            </w:r>
          </w:p>
          <w:p>
            <w:pPr>
              <w:jc w:val="center"/>
              <w:rPr>
                <w:b/>
                <w:bCs/>
                <w:sz w:val="24"/>
              </w:rPr>
            </w:pPr>
            <w:r>
              <w:rPr>
                <w:b/>
                <w:bCs/>
                <w:sz w:val="24"/>
              </w:rPr>
              <w:t>表6-</w:t>
            </w:r>
            <w:r>
              <w:rPr>
                <w:rFonts w:hint="eastAsia"/>
                <w:b/>
                <w:bCs/>
                <w:sz w:val="24"/>
              </w:rPr>
              <w:t>3</w:t>
            </w:r>
            <w:r>
              <w:rPr>
                <w:b/>
                <w:bCs/>
                <w:sz w:val="24"/>
              </w:rPr>
              <w:t xml:space="preserve">  噪声分析仪校准结果</w:t>
            </w:r>
          </w:p>
          <w:tbl>
            <w:tblPr>
              <w:tblStyle w:val="18"/>
              <w:tblW w:w="8594" w:type="dxa"/>
              <w:jc w:val="center"/>
              <w:tblInd w:w="30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973"/>
              <w:gridCol w:w="2185"/>
              <w:gridCol w:w="885"/>
              <w:gridCol w:w="885"/>
              <w:gridCol w:w="885"/>
              <w:gridCol w:w="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1" w:type="dxa"/>
                  <w:vMerge w:val="restart"/>
                  <w:tcBorders>
                    <w:left w:val="nil"/>
                  </w:tcBorders>
                  <w:vAlign w:val="center"/>
                </w:tcPr>
                <w:p>
                  <w:pPr>
                    <w:jc w:val="center"/>
                    <w:rPr>
                      <w:b/>
                      <w:bCs/>
                      <w:szCs w:val="21"/>
                    </w:rPr>
                  </w:pPr>
                  <w:bookmarkStart w:id="5" w:name="_Toc6457"/>
                  <w:r>
                    <w:rPr>
                      <w:b/>
                      <w:bCs/>
                      <w:szCs w:val="21"/>
                    </w:rPr>
                    <w:t>监测日期</w:t>
                  </w:r>
                </w:p>
              </w:tc>
              <w:tc>
                <w:tcPr>
                  <w:tcW w:w="1973" w:type="dxa"/>
                  <w:vMerge w:val="restart"/>
                  <w:vAlign w:val="center"/>
                </w:tcPr>
                <w:p>
                  <w:pPr>
                    <w:autoSpaceDN w:val="0"/>
                    <w:ind w:left="-105" w:leftChars="-50" w:right="-105" w:rightChars="-50"/>
                    <w:jc w:val="center"/>
                    <w:textAlignment w:val="center"/>
                    <w:rPr>
                      <w:b/>
                      <w:bCs/>
                      <w:szCs w:val="21"/>
                    </w:rPr>
                  </w:pPr>
                  <w:r>
                    <w:rPr>
                      <w:b/>
                      <w:bCs/>
                      <w:szCs w:val="21"/>
                    </w:rPr>
                    <w:t>声级计</w:t>
                  </w:r>
                </w:p>
                <w:p>
                  <w:pPr>
                    <w:autoSpaceDN w:val="0"/>
                    <w:ind w:left="-105" w:leftChars="-50" w:right="-105" w:rightChars="-50"/>
                    <w:jc w:val="center"/>
                    <w:textAlignment w:val="center"/>
                    <w:rPr>
                      <w:b/>
                      <w:bCs/>
                      <w:szCs w:val="21"/>
                    </w:rPr>
                  </w:pPr>
                  <w:r>
                    <w:rPr>
                      <w:b/>
                      <w:bCs/>
                      <w:szCs w:val="21"/>
                    </w:rPr>
                    <w:t>型号及编号</w:t>
                  </w:r>
                </w:p>
              </w:tc>
              <w:tc>
                <w:tcPr>
                  <w:tcW w:w="2185" w:type="dxa"/>
                  <w:vMerge w:val="restart"/>
                  <w:vAlign w:val="center"/>
                </w:tcPr>
                <w:p>
                  <w:pPr>
                    <w:autoSpaceDN w:val="0"/>
                    <w:ind w:left="-105" w:leftChars="-50" w:right="-105" w:rightChars="-50"/>
                    <w:jc w:val="center"/>
                    <w:textAlignment w:val="center"/>
                    <w:rPr>
                      <w:b/>
                      <w:bCs/>
                      <w:szCs w:val="21"/>
                    </w:rPr>
                  </w:pPr>
                  <w:r>
                    <w:rPr>
                      <w:b/>
                      <w:bCs/>
                      <w:szCs w:val="21"/>
                    </w:rPr>
                    <w:t>声校准器</w:t>
                  </w:r>
                </w:p>
                <w:p>
                  <w:pPr>
                    <w:autoSpaceDN w:val="0"/>
                    <w:ind w:left="-105" w:leftChars="-50" w:right="-105" w:rightChars="-50"/>
                    <w:jc w:val="center"/>
                    <w:textAlignment w:val="center"/>
                    <w:rPr>
                      <w:b/>
                      <w:bCs/>
                      <w:szCs w:val="21"/>
                    </w:rPr>
                  </w:pPr>
                  <w:r>
                    <w:rPr>
                      <w:b/>
                      <w:bCs/>
                      <w:szCs w:val="21"/>
                    </w:rPr>
                    <w:t>型号及编号</w:t>
                  </w:r>
                </w:p>
              </w:tc>
              <w:tc>
                <w:tcPr>
                  <w:tcW w:w="2655" w:type="dxa"/>
                  <w:gridSpan w:val="3"/>
                  <w:vAlign w:val="center"/>
                </w:tcPr>
                <w:p>
                  <w:pPr>
                    <w:ind w:left="-105" w:leftChars="-50" w:right="-105" w:rightChars="-50"/>
                    <w:jc w:val="center"/>
                    <w:rPr>
                      <w:b/>
                      <w:bCs/>
                      <w:szCs w:val="21"/>
                    </w:rPr>
                  </w:pPr>
                  <w:r>
                    <w:rPr>
                      <w:b/>
                      <w:bCs/>
                      <w:szCs w:val="21"/>
                    </w:rPr>
                    <w:t>校准结果 [dB(A)]</w:t>
                  </w:r>
                </w:p>
              </w:tc>
              <w:tc>
                <w:tcPr>
                  <w:tcW w:w="600" w:type="dxa"/>
                  <w:vMerge w:val="restart"/>
                  <w:tcBorders>
                    <w:right w:val="nil"/>
                  </w:tcBorders>
                  <w:vAlign w:val="center"/>
                </w:tcPr>
                <w:p>
                  <w:pPr>
                    <w:ind w:left="-105" w:leftChars="-50" w:right="-105" w:rightChars="-50"/>
                    <w:jc w:val="center"/>
                    <w:rPr>
                      <w:b/>
                      <w:bCs/>
                      <w:szCs w:val="21"/>
                    </w:rPr>
                  </w:pPr>
                  <w:r>
                    <w:rPr>
                      <w:b/>
                      <w:bCs/>
                      <w:szCs w:val="21"/>
                    </w:rPr>
                    <w:t>是否合格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1" w:type="dxa"/>
                  <w:vMerge w:val="continue"/>
                  <w:tcBorders>
                    <w:left w:val="nil"/>
                  </w:tcBorders>
                </w:tcPr>
                <w:p>
                  <w:pPr>
                    <w:jc w:val="center"/>
                    <w:rPr>
                      <w:szCs w:val="21"/>
                    </w:rPr>
                  </w:pPr>
                </w:p>
              </w:tc>
              <w:tc>
                <w:tcPr>
                  <w:tcW w:w="1973" w:type="dxa"/>
                  <w:vMerge w:val="continue"/>
                </w:tcPr>
                <w:p>
                  <w:pPr>
                    <w:jc w:val="center"/>
                    <w:rPr>
                      <w:szCs w:val="21"/>
                    </w:rPr>
                  </w:pPr>
                </w:p>
              </w:tc>
              <w:tc>
                <w:tcPr>
                  <w:tcW w:w="2185" w:type="dxa"/>
                  <w:vMerge w:val="continue"/>
                </w:tcPr>
                <w:p>
                  <w:pPr>
                    <w:jc w:val="center"/>
                    <w:rPr>
                      <w:szCs w:val="21"/>
                    </w:rPr>
                  </w:pPr>
                </w:p>
              </w:tc>
              <w:tc>
                <w:tcPr>
                  <w:tcW w:w="885" w:type="dxa"/>
                  <w:vAlign w:val="center"/>
                </w:tcPr>
                <w:p>
                  <w:pPr>
                    <w:ind w:left="-97" w:leftChars="-46" w:right="-78" w:rightChars="-37"/>
                    <w:jc w:val="center"/>
                    <w:rPr>
                      <w:b/>
                      <w:bCs/>
                      <w:szCs w:val="21"/>
                    </w:rPr>
                  </w:pPr>
                  <w:r>
                    <w:rPr>
                      <w:b/>
                      <w:bCs/>
                      <w:szCs w:val="21"/>
                    </w:rPr>
                    <w:t>监测前</w:t>
                  </w:r>
                </w:p>
              </w:tc>
              <w:tc>
                <w:tcPr>
                  <w:tcW w:w="885" w:type="dxa"/>
                  <w:vAlign w:val="center"/>
                </w:tcPr>
                <w:p>
                  <w:pPr>
                    <w:ind w:left="-105" w:leftChars="-50" w:right="-105" w:rightChars="-50"/>
                    <w:jc w:val="center"/>
                    <w:rPr>
                      <w:b/>
                      <w:bCs/>
                      <w:szCs w:val="21"/>
                    </w:rPr>
                  </w:pPr>
                  <w:r>
                    <w:rPr>
                      <w:b/>
                      <w:bCs/>
                      <w:szCs w:val="21"/>
                    </w:rPr>
                    <w:t>监测后</w:t>
                  </w:r>
                </w:p>
              </w:tc>
              <w:tc>
                <w:tcPr>
                  <w:tcW w:w="885" w:type="dxa"/>
                  <w:vAlign w:val="center"/>
                </w:tcPr>
                <w:p>
                  <w:pPr>
                    <w:ind w:left="-105" w:leftChars="-50" w:right="-105" w:rightChars="-50"/>
                    <w:jc w:val="center"/>
                    <w:rPr>
                      <w:b/>
                      <w:bCs/>
                      <w:szCs w:val="21"/>
                    </w:rPr>
                  </w:pPr>
                  <w:r>
                    <w:rPr>
                      <w:b/>
                      <w:bCs/>
                      <w:szCs w:val="21"/>
                    </w:rPr>
                    <w:t>示值偏差</w:t>
                  </w:r>
                </w:p>
              </w:tc>
              <w:tc>
                <w:tcPr>
                  <w:tcW w:w="600" w:type="dxa"/>
                  <w:vMerge w:val="continue"/>
                  <w:tcBorders>
                    <w:right w:val="nil"/>
                  </w:tcBorders>
                  <w:vAlign w:val="center"/>
                </w:tcPr>
                <w:p>
                  <w:pPr>
                    <w:ind w:left="-105" w:leftChars="-50" w:right="-105" w:rightChars="-5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1" w:type="dxa"/>
                  <w:tcBorders>
                    <w:left w:val="nil"/>
                  </w:tcBorders>
                  <w:vAlign w:val="center"/>
                </w:tcPr>
                <w:p>
                  <w:pPr>
                    <w:widowControl/>
                    <w:jc w:val="center"/>
                  </w:pPr>
                  <w:r>
                    <w:rPr>
                      <w:rFonts w:hint="eastAsia"/>
                    </w:rPr>
                    <w:t>2019年</w:t>
                  </w:r>
                </w:p>
                <w:p>
                  <w:pPr>
                    <w:jc w:val="center"/>
                    <w:rPr>
                      <w:szCs w:val="21"/>
                    </w:rPr>
                  </w:pPr>
                  <w:r>
                    <w:rPr>
                      <w:rFonts w:hint="eastAsia"/>
                    </w:rPr>
                    <w:t>03月20日</w:t>
                  </w:r>
                </w:p>
              </w:tc>
              <w:tc>
                <w:tcPr>
                  <w:tcW w:w="1973" w:type="dxa"/>
                  <w:vAlign w:val="center"/>
                </w:tcPr>
                <w:p>
                  <w:pPr>
                    <w:ind w:left="-105" w:leftChars="-50" w:right="-105" w:rightChars="-50"/>
                    <w:jc w:val="center"/>
                    <w:rPr>
                      <w:szCs w:val="21"/>
                    </w:rPr>
                  </w:pPr>
                  <w:r>
                    <w:rPr>
                      <w:rFonts w:hint="eastAsia"/>
                      <w:szCs w:val="21"/>
                    </w:rPr>
                    <w:t>AWA6288+多功能声级计SMX-003-3</w:t>
                  </w:r>
                </w:p>
              </w:tc>
              <w:tc>
                <w:tcPr>
                  <w:tcW w:w="2185" w:type="dxa"/>
                  <w:vAlign w:val="center"/>
                </w:tcPr>
                <w:p>
                  <w:pPr>
                    <w:widowControl/>
                    <w:jc w:val="center"/>
                    <w:rPr>
                      <w:szCs w:val="21"/>
                    </w:rPr>
                  </w:pPr>
                  <w:r>
                    <w:rPr>
                      <w:rFonts w:hint="eastAsia"/>
                      <w:szCs w:val="21"/>
                    </w:rPr>
                    <w:t>AWA6221型声校准器SMX-005-3</w:t>
                  </w:r>
                </w:p>
              </w:tc>
              <w:tc>
                <w:tcPr>
                  <w:tcW w:w="885" w:type="dxa"/>
                  <w:vAlign w:val="center"/>
                </w:tcPr>
                <w:p>
                  <w:pPr>
                    <w:jc w:val="center"/>
                    <w:rPr>
                      <w:szCs w:val="21"/>
                    </w:rPr>
                  </w:pPr>
                  <w:r>
                    <w:rPr>
                      <w:rFonts w:hint="eastAsia"/>
                      <w:szCs w:val="21"/>
                    </w:rPr>
                    <w:t>93.8</w:t>
                  </w:r>
                </w:p>
              </w:tc>
              <w:tc>
                <w:tcPr>
                  <w:tcW w:w="885" w:type="dxa"/>
                  <w:vAlign w:val="center"/>
                </w:tcPr>
                <w:p>
                  <w:pPr>
                    <w:jc w:val="center"/>
                    <w:rPr>
                      <w:szCs w:val="21"/>
                    </w:rPr>
                  </w:pPr>
                  <w:r>
                    <w:rPr>
                      <w:rFonts w:hint="eastAsia"/>
                      <w:szCs w:val="21"/>
                    </w:rPr>
                    <w:t>93.8</w:t>
                  </w:r>
                </w:p>
              </w:tc>
              <w:tc>
                <w:tcPr>
                  <w:tcW w:w="885" w:type="dxa"/>
                  <w:vAlign w:val="center"/>
                </w:tcPr>
                <w:p>
                  <w:pPr>
                    <w:jc w:val="center"/>
                    <w:rPr>
                      <w:szCs w:val="21"/>
                    </w:rPr>
                  </w:pPr>
                  <w:r>
                    <w:rPr>
                      <w:rFonts w:hint="eastAsia"/>
                      <w:szCs w:val="21"/>
                    </w:rPr>
                    <w:t>0</w:t>
                  </w:r>
                </w:p>
              </w:tc>
              <w:tc>
                <w:tcPr>
                  <w:tcW w:w="600" w:type="dxa"/>
                  <w:tcBorders>
                    <w:right w:val="nil"/>
                  </w:tcBorders>
                  <w:vAlign w:val="center"/>
                </w:tcPr>
                <w:p>
                  <w:pPr>
                    <w:ind w:left="-105" w:leftChars="-50" w:right="-105" w:rightChars="-50"/>
                    <w:jc w:val="center"/>
                    <w:rPr>
                      <w:szCs w:val="21"/>
                    </w:rPr>
                  </w:pPr>
                  <w:r>
                    <w:rPr>
                      <w:rFonts w:hint="eastAsia"/>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1" w:type="dxa"/>
                  <w:tcBorders>
                    <w:left w:val="nil"/>
                  </w:tcBorders>
                  <w:vAlign w:val="center"/>
                </w:tcPr>
                <w:p>
                  <w:pPr>
                    <w:widowControl/>
                    <w:jc w:val="center"/>
                  </w:pPr>
                  <w:r>
                    <w:rPr>
                      <w:rFonts w:hint="eastAsia"/>
                    </w:rPr>
                    <w:t>2019年</w:t>
                  </w:r>
                </w:p>
                <w:p>
                  <w:pPr>
                    <w:jc w:val="center"/>
                    <w:rPr>
                      <w:szCs w:val="21"/>
                    </w:rPr>
                  </w:pPr>
                  <w:r>
                    <w:rPr>
                      <w:rFonts w:hint="eastAsia"/>
                    </w:rPr>
                    <w:t>03月21日</w:t>
                  </w:r>
                </w:p>
              </w:tc>
              <w:tc>
                <w:tcPr>
                  <w:tcW w:w="1973" w:type="dxa"/>
                  <w:vAlign w:val="center"/>
                </w:tcPr>
                <w:p>
                  <w:pPr>
                    <w:ind w:left="-105" w:leftChars="-50" w:right="-105" w:rightChars="-50"/>
                    <w:jc w:val="center"/>
                    <w:rPr>
                      <w:szCs w:val="21"/>
                    </w:rPr>
                  </w:pPr>
                  <w:r>
                    <w:rPr>
                      <w:rFonts w:hint="eastAsia"/>
                      <w:szCs w:val="21"/>
                    </w:rPr>
                    <w:t>AWA6288+多功能声级计SMX-003-3</w:t>
                  </w:r>
                </w:p>
              </w:tc>
              <w:tc>
                <w:tcPr>
                  <w:tcW w:w="2185" w:type="dxa"/>
                  <w:vAlign w:val="center"/>
                </w:tcPr>
                <w:p>
                  <w:pPr>
                    <w:widowControl/>
                    <w:jc w:val="center"/>
                    <w:rPr>
                      <w:szCs w:val="21"/>
                    </w:rPr>
                  </w:pPr>
                  <w:r>
                    <w:rPr>
                      <w:rFonts w:hint="eastAsia"/>
                      <w:szCs w:val="21"/>
                    </w:rPr>
                    <w:t>AWA6221型声校准器SMX-005-3</w:t>
                  </w:r>
                </w:p>
              </w:tc>
              <w:tc>
                <w:tcPr>
                  <w:tcW w:w="885" w:type="dxa"/>
                  <w:vAlign w:val="center"/>
                </w:tcPr>
                <w:p>
                  <w:pPr>
                    <w:jc w:val="center"/>
                    <w:rPr>
                      <w:szCs w:val="21"/>
                    </w:rPr>
                  </w:pPr>
                  <w:r>
                    <w:rPr>
                      <w:rFonts w:hint="eastAsia"/>
                      <w:szCs w:val="21"/>
                    </w:rPr>
                    <w:t>93.8</w:t>
                  </w:r>
                </w:p>
              </w:tc>
              <w:tc>
                <w:tcPr>
                  <w:tcW w:w="885" w:type="dxa"/>
                  <w:vAlign w:val="center"/>
                </w:tcPr>
                <w:p>
                  <w:pPr>
                    <w:jc w:val="center"/>
                    <w:rPr>
                      <w:szCs w:val="21"/>
                    </w:rPr>
                  </w:pPr>
                  <w:r>
                    <w:rPr>
                      <w:rFonts w:hint="eastAsia"/>
                      <w:szCs w:val="21"/>
                    </w:rPr>
                    <w:t>93.7</w:t>
                  </w:r>
                </w:p>
              </w:tc>
              <w:tc>
                <w:tcPr>
                  <w:tcW w:w="885" w:type="dxa"/>
                  <w:vAlign w:val="center"/>
                </w:tcPr>
                <w:p>
                  <w:pPr>
                    <w:jc w:val="center"/>
                    <w:rPr>
                      <w:szCs w:val="21"/>
                    </w:rPr>
                  </w:pPr>
                  <w:r>
                    <w:rPr>
                      <w:rFonts w:hint="eastAsia"/>
                      <w:szCs w:val="21"/>
                    </w:rPr>
                    <w:t>0.1</w:t>
                  </w:r>
                </w:p>
              </w:tc>
              <w:tc>
                <w:tcPr>
                  <w:tcW w:w="600" w:type="dxa"/>
                  <w:tcBorders>
                    <w:right w:val="nil"/>
                  </w:tcBorders>
                  <w:vAlign w:val="center"/>
                </w:tcPr>
                <w:p>
                  <w:pPr>
                    <w:ind w:left="-105" w:leftChars="-50" w:right="-105" w:rightChars="-50"/>
                    <w:jc w:val="center"/>
                    <w:rPr>
                      <w:szCs w:val="21"/>
                    </w:rPr>
                  </w:pPr>
                  <w:r>
                    <w:rPr>
                      <w:rFonts w:hint="eastAsia"/>
                      <w:szCs w:val="21"/>
                    </w:rPr>
                    <w:t>是</w:t>
                  </w:r>
                </w:p>
              </w:tc>
            </w:tr>
          </w:tbl>
          <w:p>
            <w:pPr>
              <w:spacing w:beforeLines="50" w:line="360" w:lineRule="auto"/>
              <w:ind w:firstLine="480" w:firstLineChars="200"/>
              <w:rPr>
                <w:sz w:val="24"/>
              </w:rPr>
            </w:pPr>
            <w:r>
              <w:rPr>
                <w:sz w:val="24"/>
              </w:rPr>
              <w:t>综上可知，本次监测符合相关质控要求，监测结果有效。</w:t>
            </w:r>
            <w:bookmarkEnd w:id="5"/>
          </w:p>
          <w:p>
            <w:pPr>
              <w:spacing w:beforeLines="50" w:line="360" w:lineRule="auto"/>
              <w:ind w:firstLine="480" w:firstLineChars="200"/>
              <w:rPr>
                <w:sz w:val="24"/>
              </w:rPr>
            </w:pPr>
          </w:p>
          <w:p>
            <w:pPr>
              <w:spacing w:beforeLines="50" w:line="360" w:lineRule="auto"/>
              <w:ind w:firstLine="480" w:firstLineChars="200"/>
              <w:rPr>
                <w:sz w:val="24"/>
              </w:rPr>
            </w:pPr>
          </w:p>
          <w:p>
            <w:pPr>
              <w:spacing w:beforeLines="50" w:line="360" w:lineRule="auto"/>
              <w:ind w:firstLine="480" w:firstLineChars="200"/>
              <w:rPr>
                <w:sz w:val="24"/>
              </w:rPr>
            </w:pPr>
          </w:p>
          <w:p>
            <w:pPr>
              <w:spacing w:beforeLines="50" w:line="360" w:lineRule="auto"/>
              <w:ind w:firstLine="480" w:firstLineChars="200"/>
              <w:rPr>
                <w:sz w:val="24"/>
              </w:rPr>
            </w:pPr>
          </w:p>
          <w:p>
            <w:pPr>
              <w:spacing w:beforeLines="50" w:line="360" w:lineRule="auto"/>
              <w:ind w:firstLine="480" w:firstLineChars="200"/>
              <w:rPr>
                <w:sz w:val="24"/>
              </w:rPr>
            </w:pPr>
          </w:p>
          <w:p>
            <w:pPr>
              <w:spacing w:beforeLines="50" w:line="360" w:lineRule="auto"/>
              <w:ind w:firstLine="480" w:firstLineChars="200"/>
              <w:rPr>
                <w:sz w:val="24"/>
              </w:rPr>
            </w:pPr>
          </w:p>
          <w:p>
            <w:pPr>
              <w:spacing w:beforeLines="50" w:line="360" w:lineRule="auto"/>
              <w:ind w:firstLine="480" w:firstLineChars="200"/>
              <w:rPr>
                <w:sz w:val="24"/>
              </w:rPr>
            </w:pPr>
          </w:p>
        </w:tc>
      </w:tr>
    </w:tbl>
    <w:p>
      <w:pPr>
        <w:outlineLvl w:val="0"/>
        <w:rPr>
          <w:sz w:val="24"/>
        </w:rPr>
      </w:pPr>
      <w:r>
        <w:rPr>
          <w:sz w:val="24"/>
        </w:rPr>
        <w:t>表七</w:t>
      </w:r>
    </w:p>
    <w:tbl>
      <w:tblPr>
        <w:tblStyle w:val="18"/>
        <w:tblW w:w="9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3" w:hRule="atLeast"/>
          <w:jc w:val="center"/>
        </w:trPr>
        <w:tc>
          <w:tcPr>
            <w:tcW w:w="9083" w:type="dxa"/>
          </w:tcPr>
          <w:p>
            <w:pPr>
              <w:spacing w:line="360" w:lineRule="auto"/>
              <w:rPr>
                <w:b/>
                <w:bCs/>
                <w:sz w:val="24"/>
              </w:rPr>
            </w:pPr>
            <w:r>
              <w:rPr>
                <w:b/>
                <w:bCs/>
                <w:sz w:val="24"/>
              </w:rPr>
              <w:t>验收监测内容：</w:t>
            </w:r>
          </w:p>
          <w:p>
            <w:pPr>
              <w:spacing w:line="360" w:lineRule="auto"/>
              <w:rPr>
                <w:b/>
                <w:bCs/>
                <w:sz w:val="24"/>
              </w:rPr>
            </w:pPr>
            <w:r>
              <w:rPr>
                <w:b/>
                <w:bCs/>
                <w:sz w:val="24"/>
              </w:rPr>
              <w:t>验收项目、监测点位布设和监测项目、频次</w:t>
            </w:r>
          </w:p>
          <w:p>
            <w:pPr>
              <w:jc w:val="center"/>
              <w:rPr>
                <w:b/>
                <w:bCs/>
                <w:sz w:val="24"/>
              </w:rPr>
            </w:pPr>
            <w:r>
              <w:rPr>
                <w:b/>
                <w:bCs/>
                <w:sz w:val="24"/>
              </w:rPr>
              <w:t>表7-1  验收监测内容一览表</w:t>
            </w:r>
          </w:p>
          <w:tbl>
            <w:tblPr>
              <w:tblStyle w:val="18"/>
              <w:tblW w:w="886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968"/>
              <w:gridCol w:w="2701"/>
              <w:gridCol w:w="3260"/>
              <w:gridCol w:w="1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865" w:type="dxa"/>
                  <w:vMerge w:val="restart"/>
                  <w:tcBorders>
                    <w:top w:val="single" w:color="auto" w:sz="12" w:space="0"/>
                  </w:tcBorders>
                  <w:vAlign w:val="center"/>
                </w:tcPr>
                <w:p>
                  <w:pPr>
                    <w:jc w:val="center"/>
                    <w:rPr>
                      <w:b/>
                      <w:bCs/>
                      <w:szCs w:val="21"/>
                    </w:rPr>
                  </w:pPr>
                  <w:r>
                    <w:rPr>
                      <w:b/>
                      <w:bCs/>
                      <w:szCs w:val="21"/>
                    </w:rPr>
                    <w:t>类别</w:t>
                  </w:r>
                </w:p>
              </w:tc>
              <w:tc>
                <w:tcPr>
                  <w:tcW w:w="3669" w:type="dxa"/>
                  <w:gridSpan w:val="2"/>
                  <w:tcBorders>
                    <w:top w:val="single" w:color="auto" w:sz="12" w:space="0"/>
                    <w:bottom w:val="single" w:color="auto" w:sz="4" w:space="0"/>
                  </w:tcBorders>
                  <w:vAlign w:val="center"/>
                </w:tcPr>
                <w:p>
                  <w:pPr>
                    <w:jc w:val="center"/>
                    <w:rPr>
                      <w:b/>
                      <w:bCs/>
                      <w:szCs w:val="21"/>
                    </w:rPr>
                  </w:pPr>
                  <w:r>
                    <w:rPr>
                      <w:b/>
                      <w:bCs/>
                      <w:szCs w:val="21"/>
                    </w:rPr>
                    <w:t>监测点位</w:t>
                  </w:r>
                </w:p>
              </w:tc>
              <w:tc>
                <w:tcPr>
                  <w:tcW w:w="3260" w:type="dxa"/>
                  <w:vMerge w:val="restart"/>
                  <w:tcBorders>
                    <w:top w:val="single" w:color="auto" w:sz="12" w:space="0"/>
                    <w:right w:val="single" w:color="auto" w:sz="4" w:space="0"/>
                  </w:tcBorders>
                  <w:vAlign w:val="center"/>
                </w:tcPr>
                <w:p>
                  <w:pPr>
                    <w:jc w:val="center"/>
                    <w:rPr>
                      <w:b/>
                      <w:bCs/>
                      <w:szCs w:val="21"/>
                    </w:rPr>
                  </w:pPr>
                  <w:r>
                    <w:rPr>
                      <w:b/>
                      <w:bCs/>
                      <w:szCs w:val="21"/>
                    </w:rPr>
                    <w:t>监测项目</w:t>
                  </w:r>
                </w:p>
              </w:tc>
              <w:tc>
                <w:tcPr>
                  <w:tcW w:w="1073" w:type="dxa"/>
                  <w:vMerge w:val="restart"/>
                  <w:tcBorders>
                    <w:top w:val="single" w:color="auto" w:sz="12" w:space="0"/>
                    <w:left w:val="single" w:color="auto" w:sz="4" w:space="0"/>
                  </w:tcBorders>
                  <w:vAlign w:val="center"/>
                </w:tcPr>
                <w:p>
                  <w:pPr>
                    <w:jc w:val="center"/>
                    <w:rPr>
                      <w:b/>
                      <w:bCs/>
                      <w:szCs w:val="21"/>
                    </w:rPr>
                  </w:pPr>
                  <w:r>
                    <w:rPr>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865" w:type="dxa"/>
                  <w:vMerge w:val="continue"/>
                  <w:tcBorders>
                    <w:bottom w:val="single" w:color="auto" w:sz="4" w:space="0"/>
                  </w:tcBorders>
                  <w:vAlign w:val="center"/>
                </w:tcPr>
                <w:p>
                  <w:pPr>
                    <w:jc w:val="center"/>
                    <w:rPr>
                      <w:szCs w:val="21"/>
                    </w:rPr>
                  </w:pPr>
                </w:p>
              </w:tc>
              <w:tc>
                <w:tcPr>
                  <w:tcW w:w="968" w:type="dxa"/>
                  <w:tcBorders>
                    <w:top w:val="single" w:color="auto" w:sz="4" w:space="0"/>
                    <w:bottom w:val="single" w:color="auto" w:sz="4" w:space="0"/>
                  </w:tcBorders>
                  <w:vAlign w:val="center"/>
                </w:tcPr>
                <w:p>
                  <w:pPr>
                    <w:jc w:val="center"/>
                    <w:rPr>
                      <w:b/>
                      <w:bCs/>
                      <w:szCs w:val="21"/>
                    </w:rPr>
                  </w:pPr>
                  <w:r>
                    <w:rPr>
                      <w:b/>
                      <w:bCs/>
                      <w:szCs w:val="21"/>
                    </w:rPr>
                    <w:t>编号</w:t>
                  </w:r>
                </w:p>
              </w:tc>
              <w:tc>
                <w:tcPr>
                  <w:tcW w:w="2701" w:type="dxa"/>
                  <w:tcBorders>
                    <w:top w:val="single" w:color="auto" w:sz="4" w:space="0"/>
                    <w:bottom w:val="single" w:color="auto" w:sz="4" w:space="0"/>
                  </w:tcBorders>
                  <w:vAlign w:val="center"/>
                </w:tcPr>
                <w:p>
                  <w:pPr>
                    <w:jc w:val="center"/>
                    <w:rPr>
                      <w:b/>
                      <w:bCs/>
                      <w:szCs w:val="21"/>
                    </w:rPr>
                  </w:pPr>
                  <w:r>
                    <w:rPr>
                      <w:b/>
                      <w:bCs/>
                      <w:szCs w:val="21"/>
                    </w:rPr>
                    <w:t>名称</w:t>
                  </w:r>
                </w:p>
              </w:tc>
              <w:tc>
                <w:tcPr>
                  <w:tcW w:w="3260" w:type="dxa"/>
                  <w:vMerge w:val="continue"/>
                  <w:tcBorders>
                    <w:bottom w:val="single" w:color="auto" w:sz="4" w:space="0"/>
                    <w:right w:val="single" w:color="auto" w:sz="4" w:space="0"/>
                  </w:tcBorders>
                  <w:vAlign w:val="center"/>
                </w:tcPr>
                <w:p>
                  <w:pPr>
                    <w:jc w:val="center"/>
                    <w:rPr>
                      <w:szCs w:val="21"/>
                    </w:rPr>
                  </w:pPr>
                </w:p>
              </w:tc>
              <w:tc>
                <w:tcPr>
                  <w:tcW w:w="1073" w:type="dxa"/>
                  <w:vMerge w:val="continue"/>
                  <w:tcBorders>
                    <w:left w:val="single" w:color="auto" w:sz="4" w:space="0"/>
                    <w:bottom w:val="single" w:color="auto" w:sz="4" w:space="0"/>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65" w:type="dxa"/>
                  <w:vMerge w:val="restart"/>
                  <w:vAlign w:val="center"/>
                </w:tcPr>
                <w:p>
                  <w:pPr>
                    <w:jc w:val="center"/>
                    <w:rPr>
                      <w:szCs w:val="21"/>
                    </w:rPr>
                  </w:pPr>
                  <w:r>
                    <w:rPr>
                      <w:rFonts w:hint="eastAsia"/>
                      <w:szCs w:val="21"/>
                    </w:rPr>
                    <w:t>废水</w:t>
                  </w:r>
                </w:p>
              </w:tc>
              <w:tc>
                <w:tcPr>
                  <w:tcW w:w="968" w:type="dxa"/>
                  <w:tcBorders>
                    <w:top w:val="single" w:color="auto" w:sz="4" w:space="0"/>
                    <w:bottom w:val="single" w:color="auto" w:sz="4" w:space="0"/>
                  </w:tcBorders>
                  <w:vAlign w:val="center"/>
                </w:tcPr>
                <w:p>
                  <w:pPr>
                    <w:jc w:val="center"/>
                    <w:rPr>
                      <w:szCs w:val="21"/>
                    </w:rPr>
                  </w:pPr>
                  <w:r>
                    <w:rPr>
                      <w:szCs w:val="21"/>
                    </w:rPr>
                    <w:t>W1</w:t>
                  </w:r>
                </w:p>
              </w:tc>
              <w:tc>
                <w:tcPr>
                  <w:tcW w:w="2701" w:type="dxa"/>
                  <w:tcBorders>
                    <w:top w:val="single" w:color="auto" w:sz="4" w:space="0"/>
                  </w:tcBorders>
                  <w:vAlign w:val="center"/>
                </w:tcPr>
                <w:p>
                  <w:pPr>
                    <w:jc w:val="center"/>
                    <w:rPr>
                      <w:szCs w:val="21"/>
                    </w:rPr>
                  </w:pPr>
                  <w:r>
                    <w:rPr>
                      <w:szCs w:val="21"/>
                    </w:rPr>
                    <w:t>雨水</w:t>
                  </w:r>
                </w:p>
              </w:tc>
              <w:tc>
                <w:tcPr>
                  <w:tcW w:w="3260" w:type="dxa"/>
                  <w:tcBorders>
                    <w:top w:val="single" w:color="auto" w:sz="4" w:space="0"/>
                    <w:right w:val="single" w:color="auto" w:sz="4" w:space="0"/>
                  </w:tcBorders>
                  <w:vAlign w:val="center"/>
                </w:tcPr>
                <w:p>
                  <w:pPr>
                    <w:jc w:val="center"/>
                    <w:rPr>
                      <w:szCs w:val="21"/>
                    </w:rPr>
                  </w:pPr>
                  <w:r>
                    <w:rPr>
                      <w:szCs w:val="21"/>
                    </w:rPr>
                    <w:t>pH值、</w:t>
                  </w:r>
                  <w:r>
                    <w:rPr>
                      <w:rFonts w:hint="eastAsia"/>
                      <w:szCs w:val="21"/>
                    </w:rPr>
                    <w:t>化学需氧量</w:t>
                  </w:r>
                  <w:r>
                    <w:rPr>
                      <w:szCs w:val="21"/>
                    </w:rPr>
                    <w:t>、</w:t>
                  </w:r>
                  <w:r>
                    <w:rPr>
                      <w:rFonts w:hint="eastAsia"/>
                      <w:szCs w:val="21"/>
                    </w:rPr>
                    <w:t>悬浮物</w:t>
                  </w:r>
                </w:p>
              </w:tc>
              <w:tc>
                <w:tcPr>
                  <w:tcW w:w="1073" w:type="dxa"/>
                  <w:tcBorders>
                    <w:left w:val="single" w:color="auto" w:sz="4" w:space="0"/>
                  </w:tcBorders>
                  <w:vAlign w:val="center"/>
                </w:tcPr>
                <w:p>
                  <w:pPr>
                    <w:adjustRightInd w:val="0"/>
                    <w:snapToGrid w:val="0"/>
                    <w:jc w:val="center"/>
                    <w:rPr>
                      <w:szCs w:val="21"/>
                    </w:rPr>
                  </w:pPr>
                  <w:r>
                    <w:rPr>
                      <w:szCs w:val="21"/>
                    </w:rPr>
                    <w:t>每天</w:t>
                  </w:r>
                  <w:r>
                    <w:rPr>
                      <w:rFonts w:hint="eastAsia"/>
                      <w:szCs w:val="21"/>
                    </w:rPr>
                    <w:t>一</w:t>
                  </w:r>
                  <w:r>
                    <w:rPr>
                      <w:szCs w:val="21"/>
                    </w:rPr>
                    <w:t>次</w:t>
                  </w:r>
                </w:p>
                <w:p>
                  <w:pPr>
                    <w:adjustRightInd w:val="0"/>
                    <w:snapToGrid w:val="0"/>
                    <w:jc w:val="center"/>
                    <w:rPr>
                      <w:szCs w:val="21"/>
                    </w:rPr>
                  </w:pPr>
                  <w:r>
                    <w:rPr>
                      <w:szCs w:val="21"/>
                    </w:rPr>
                    <w:t>连续两天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65" w:type="dxa"/>
                  <w:vMerge w:val="continue"/>
                  <w:vAlign w:val="center"/>
                </w:tcPr>
                <w:p>
                  <w:pPr>
                    <w:jc w:val="center"/>
                    <w:rPr>
                      <w:szCs w:val="21"/>
                    </w:rPr>
                  </w:pPr>
                </w:p>
              </w:tc>
              <w:tc>
                <w:tcPr>
                  <w:tcW w:w="968" w:type="dxa"/>
                  <w:tcBorders>
                    <w:top w:val="single" w:color="auto" w:sz="4" w:space="0"/>
                    <w:bottom w:val="single" w:color="auto" w:sz="4" w:space="0"/>
                  </w:tcBorders>
                  <w:vAlign w:val="center"/>
                </w:tcPr>
                <w:p>
                  <w:pPr>
                    <w:jc w:val="center"/>
                    <w:rPr>
                      <w:szCs w:val="21"/>
                    </w:rPr>
                  </w:pPr>
                  <w:r>
                    <w:rPr>
                      <w:rFonts w:hint="eastAsia"/>
                      <w:szCs w:val="21"/>
                    </w:rPr>
                    <w:t>W2</w:t>
                  </w:r>
                </w:p>
              </w:tc>
              <w:tc>
                <w:tcPr>
                  <w:tcW w:w="2701" w:type="dxa"/>
                  <w:tcBorders>
                    <w:top w:val="single" w:color="auto" w:sz="4" w:space="0"/>
                  </w:tcBorders>
                  <w:vAlign w:val="center"/>
                </w:tcPr>
                <w:p>
                  <w:pPr>
                    <w:jc w:val="center"/>
                    <w:rPr>
                      <w:szCs w:val="21"/>
                    </w:rPr>
                  </w:pPr>
                  <w:r>
                    <w:rPr>
                      <w:rFonts w:hint="eastAsia"/>
                      <w:szCs w:val="21"/>
                    </w:rPr>
                    <w:t>污</w:t>
                  </w:r>
                  <w:r>
                    <w:rPr>
                      <w:szCs w:val="21"/>
                    </w:rPr>
                    <w:t>水</w:t>
                  </w:r>
                </w:p>
              </w:tc>
              <w:tc>
                <w:tcPr>
                  <w:tcW w:w="3260" w:type="dxa"/>
                  <w:tcBorders>
                    <w:top w:val="single" w:color="auto" w:sz="4" w:space="0"/>
                    <w:right w:val="single" w:color="auto" w:sz="4" w:space="0"/>
                  </w:tcBorders>
                  <w:vAlign w:val="center"/>
                </w:tcPr>
                <w:p>
                  <w:pPr>
                    <w:jc w:val="center"/>
                    <w:rPr>
                      <w:szCs w:val="21"/>
                    </w:rPr>
                  </w:pPr>
                  <w:r>
                    <w:rPr>
                      <w:szCs w:val="21"/>
                    </w:rPr>
                    <w:t>pH值、</w:t>
                  </w:r>
                  <w:r>
                    <w:rPr>
                      <w:rFonts w:hint="eastAsia"/>
                      <w:szCs w:val="21"/>
                    </w:rPr>
                    <w:t>化学需氧量</w:t>
                  </w:r>
                  <w:r>
                    <w:rPr>
                      <w:szCs w:val="21"/>
                    </w:rPr>
                    <w:t>、</w:t>
                  </w:r>
                  <w:r>
                    <w:rPr>
                      <w:rFonts w:hint="eastAsia"/>
                      <w:szCs w:val="21"/>
                    </w:rPr>
                    <w:t>悬浮物</w:t>
                  </w:r>
                  <w:r>
                    <w:rPr>
                      <w:szCs w:val="21"/>
                    </w:rPr>
                    <w:t>、氨氮、</w:t>
                  </w:r>
                  <w:r>
                    <w:rPr>
                      <w:rFonts w:hint="eastAsia"/>
                      <w:szCs w:val="21"/>
                    </w:rPr>
                    <w:t>总磷、石油类、动植物油类</w:t>
                  </w:r>
                </w:p>
              </w:tc>
              <w:tc>
                <w:tcPr>
                  <w:tcW w:w="1073" w:type="dxa"/>
                  <w:tcBorders>
                    <w:left w:val="single" w:color="auto" w:sz="4" w:space="0"/>
                  </w:tcBorders>
                  <w:vAlign w:val="center"/>
                </w:tcPr>
                <w:p>
                  <w:pPr>
                    <w:adjustRightInd w:val="0"/>
                    <w:snapToGrid w:val="0"/>
                    <w:jc w:val="center"/>
                    <w:rPr>
                      <w:szCs w:val="21"/>
                    </w:rPr>
                  </w:pPr>
                  <w:r>
                    <w:rPr>
                      <w:szCs w:val="21"/>
                    </w:rPr>
                    <w:t>每天四次</w:t>
                  </w:r>
                </w:p>
                <w:p>
                  <w:pPr>
                    <w:adjustRightInd w:val="0"/>
                    <w:snapToGrid w:val="0"/>
                    <w:jc w:val="center"/>
                    <w:rPr>
                      <w:szCs w:val="21"/>
                    </w:rPr>
                  </w:pPr>
                  <w:r>
                    <w:rPr>
                      <w:szCs w:val="21"/>
                    </w:rPr>
                    <w:t>连续两天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3" w:hRule="atLeast"/>
                <w:jc w:val="center"/>
              </w:trPr>
              <w:tc>
                <w:tcPr>
                  <w:tcW w:w="865" w:type="dxa"/>
                  <w:vMerge w:val="restart"/>
                  <w:vAlign w:val="center"/>
                </w:tcPr>
                <w:p>
                  <w:pPr>
                    <w:jc w:val="center"/>
                    <w:rPr>
                      <w:szCs w:val="21"/>
                    </w:rPr>
                  </w:pPr>
                  <w:r>
                    <w:rPr>
                      <w:szCs w:val="21"/>
                    </w:rPr>
                    <w:t>有组织废气</w:t>
                  </w:r>
                </w:p>
              </w:tc>
              <w:tc>
                <w:tcPr>
                  <w:tcW w:w="968" w:type="dxa"/>
                  <w:tcBorders>
                    <w:top w:val="single" w:color="auto" w:sz="4" w:space="0"/>
                    <w:bottom w:val="single" w:color="auto" w:sz="4" w:space="0"/>
                  </w:tcBorders>
                  <w:vAlign w:val="center"/>
                </w:tcPr>
                <w:p>
                  <w:pPr>
                    <w:jc w:val="center"/>
                    <w:rPr>
                      <w:szCs w:val="21"/>
                    </w:rPr>
                  </w:pPr>
                  <w:r>
                    <w:rPr>
                      <w:szCs w:val="21"/>
                    </w:rPr>
                    <w:t>FQ</w:t>
                  </w:r>
                  <w:r>
                    <w:rPr>
                      <w:rFonts w:hint="eastAsia"/>
                      <w:szCs w:val="21"/>
                    </w:rPr>
                    <w:t>1</w:t>
                  </w:r>
                </w:p>
              </w:tc>
              <w:tc>
                <w:tcPr>
                  <w:tcW w:w="2701" w:type="dxa"/>
                  <w:tcBorders>
                    <w:top w:val="single" w:color="auto" w:sz="4" w:space="0"/>
                  </w:tcBorders>
                  <w:vAlign w:val="center"/>
                </w:tcPr>
                <w:p>
                  <w:pPr>
                    <w:jc w:val="center"/>
                    <w:rPr>
                      <w:szCs w:val="21"/>
                    </w:rPr>
                  </w:pPr>
                  <w:r>
                    <w:rPr>
                      <w:rFonts w:hint="eastAsia"/>
                      <w:szCs w:val="21"/>
                    </w:rPr>
                    <w:t>回火、退火工序排气筒</w:t>
                  </w:r>
                </w:p>
              </w:tc>
              <w:tc>
                <w:tcPr>
                  <w:tcW w:w="3260" w:type="dxa"/>
                  <w:vMerge w:val="restart"/>
                  <w:tcBorders>
                    <w:top w:val="single" w:color="auto" w:sz="4" w:space="0"/>
                    <w:right w:val="single" w:color="auto" w:sz="4" w:space="0"/>
                  </w:tcBorders>
                  <w:vAlign w:val="center"/>
                </w:tcPr>
                <w:p>
                  <w:pPr>
                    <w:jc w:val="center"/>
                    <w:rPr>
                      <w:szCs w:val="21"/>
                    </w:rPr>
                  </w:pPr>
                  <w:r>
                    <w:rPr>
                      <w:kern w:val="24"/>
                      <w:szCs w:val="21"/>
                    </w:rPr>
                    <w:t>非甲烷总烃</w:t>
                  </w:r>
                </w:p>
              </w:tc>
              <w:tc>
                <w:tcPr>
                  <w:tcW w:w="1073" w:type="dxa"/>
                  <w:vMerge w:val="restart"/>
                  <w:tcBorders>
                    <w:left w:val="single" w:color="auto" w:sz="4" w:space="0"/>
                  </w:tcBorders>
                  <w:vAlign w:val="center"/>
                </w:tcPr>
                <w:p>
                  <w:pPr>
                    <w:adjustRightInd w:val="0"/>
                    <w:snapToGrid w:val="0"/>
                    <w:jc w:val="center"/>
                    <w:rPr>
                      <w:szCs w:val="21"/>
                    </w:rPr>
                  </w:pPr>
                  <w:r>
                    <w:rPr>
                      <w:szCs w:val="21"/>
                    </w:rPr>
                    <w:t>每天三次</w:t>
                  </w:r>
                </w:p>
                <w:p>
                  <w:pPr>
                    <w:adjustRightInd w:val="0"/>
                    <w:snapToGrid w:val="0"/>
                    <w:jc w:val="center"/>
                    <w:rPr>
                      <w:szCs w:val="21"/>
                    </w:rPr>
                  </w:pPr>
                  <w:r>
                    <w:rPr>
                      <w:szCs w:val="21"/>
                    </w:rPr>
                    <w:t>连续两天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865" w:type="dxa"/>
                  <w:vMerge w:val="continue"/>
                  <w:vAlign w:val="center"/>
                </w:tcPr>
                <w:p>
                  <w:pPr>
                    <w:jc w:val="center"/>
                    <w:rPr>
                      <w:szCs w:val="21"/>
                    </w:rPr>
                  </w:pPr>
                </w:p>
              </w:tc>
              <w:tc>
                <w:tcPr>
                  <w:tcW w:w="968" w:type="dxa"/>
                  <w:tcBorders>
                    <w:top w:val="single" w:color="auto" w:sz="4" w:space="0"/>
                    <w:bottom w:val="single" w:color="auto" w:sz="4" w:space="0"/>
                  </w:tcBorders>
                  <w:vAlign w:val="center"/>
                </w:tcPr>
                <w:p>
                  <w:pPr>
                    <w:jc w:val="center"/>
                    <w:rPr>
                      <w:szCs w:val="21"/>
                    </w:rPr>
                  </w:pPr>
                  <w:r>
                    <w:rPr>
                      <w:rFonts w:hint="eastAsia"/>
                      <w:szCs w:val="21"/>
                    </w:rPr>
                    <w:t>FQ2</w:t>
                  </w:r>
                </w:p>
              </w:tc>
              <w:tc>
                <w:tcPr>
                  <w:tcW w:w="2701" w:type="dxa"/>
                  <w:tcBorders>
                    <w:top w:val="single" w:color="auto" w:sz="4" w:space="0"/>
                  </w:tcBorders>
                  <w:vAlign w:val="center"/>
                </w:tcPr>
                <w:p>
                  <w:pPr>
                    <w:jc w:val="center"/>
                    <w:rPr>
                      <w:szCs w:val="21"/>
                    </w:rPr>
                  </w:pPr>
                  <w:r>
                    <w:rPr>
                      <w:rFonts w:hint="eastAsia"/>
                      <w:szCs w:val="21"/>
                    </w:rPr>
                    <w:t>脱脂清洗、淬火工序排气筒</w:t>
                  </w:r>
                </w:p>
              </w:tc>
              <w:tc>
                <w:tcPr>
                  <w:tcW w:w="3260" w:type="dxa"/>
                  <w:vMerge w:val="continue"/>
                  <w:tcBorders>
                    <w:right w:val="single" w:color="auto" w:sz="4" w:space="0"/>
                  </w:tcBorders>
                  <w:vAlign w:val="center"/>
                </w:tcPr>
                <w:p>
                  <w:pPr>
                    <w:jc w:val="center"/>
                    <w:rPr>
                      <w:kern w:val="24"/>
                      <w:szCs w:val="21"/>
                    </w:rPr>
                  </w:pPr>
                </w:p>
              </w:tc>
              <w:tc>
                <w:tcPr>
                  <w:tcW w:w="1073" w:type="dxa"/>
                  <w:vMerge w:val="continue"/>
                  <w:tcBorders>
                    <w:left w:val="single" w:color="auto" w:sz="4" w:space="0"/>
                  </w:tcBorders>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865" w:type="dxa"/>
                  <w:vMerge w:val="restart"/>
                  <w:vAlign w:val="center"/>
                </w:tcPr>
                <w:p>
                  <w:pPr>
                    <w:jc w:val="center"/>
                    <w:rPr>
                      <w:szCs w:val="21"/>
                    </w:rPr>
                  </w:pPr>
                  <w:r>
                    <w:rPr>
                      <w:szCs w:val="21"/>
                    </w:rPr>
                    <w:t>无组织废气</w:t>
                  </w:r>
                </w:p>
              </w:tc>
              <w:tc>
                <w:tcPr>
                  <w:tcW w:w="968" w:type="dxa"/>
                  <w:tcBorders>
                    <w:top w:val="single" w:color="auto" w:sz="4" w:space="0"/>
                    <w:bottom w:val="single" w:color="auto" w:sz="4" w:space="0"/>
                  </w:tcBorders>
                  <w:vAlign w:val="center"/>
                </w:tcPr>
                <w:p>
                  <w:pPr>
                    <w:jc w:val="center"/>
                    <w:rPr>
                      <w:szCs w:val="21"/>
                    </w:rPr>
                  </w:pPr>
                  <w:r>
                    <w:rPr>
                      <w:szCs w:val="21"/>
                    </w:rPr>
                    <w:t>G1</w:t>
                  </w:r>
                </w:p>
              </w:tc>
              <w:tc>
                <w:tcPr>
                  <w:tcW w:w="2701" w:type="dxa"/>
                  <w:vMerge w:val="restart"/>
                  <w:tcBorders>
                    <w:top w:val="single" w:color="auto" w:sz="4" w:space="0"/>
                  </w:tcBorders>
                  <w:vAlign w:val="center"/>
                </w:tcPr>
                <w:p>
                  <w:pPr>
                    <w:jc w:val="center"/>
                    <w:rPr>
                      <w:szCs w:val="21"/>
                    </w:rPr>
                  </w:pPr>
                  <w:r>
                    <w:rPr>
                      <w:szCs w:val="21"/>
                    </w:rPr>
                    <w:t>厂界上风向布设1个对照点，下风向布设3个无组织监控点</w:t>
                  </w:r>
                </w:p>
              </w:tc>
              <w:tc>
                <w:tcPr>
                  <w:tcW w:w="3260" w:type="dxa"/>
                  <w:vMerge w:val="restart"/>
                  <w:tcBorders>
                    <w:top w:val="single" w:color="auto" w:sz="4" w:space="0"/>
                    <w:right w:val="single" w:color="auto" w:sz="4" w:space="0"/>
                  </w:tcBorders>
                  <w:vAlign w:val="center"/>
                </w:tcPr>
                <w:p>
                  <w:pPr>
                    <w:jc w:val="center"/>
                    <w:rPr>
                      <w:kern w:val="24"/>
                      <w:szCs w:val="21"/>
                    </w:rPr>
                  </w:pPr>
                  <w:r>
                    <w:rPr>
                      <w:kern w:val="24"/>
                      <w:szCs w:val="21"/>
                    </w:rPr>
                    <w:t>非甲烷总烃</w:t>
                  </w:r>
                </w:p>
              </w:tc>
              <w:tc>
                <w:tcPr>
                  <w:tcW w:w="1073" w:type="dxa"/>
                  <w:vMerge w:val="restart"/>
                  <w:tcBorders>
                    <w:left w:val="single" w:color="auto" w:sz="4" w:space="0"/>
                  </w:tcBorders>
                  <w:vAlign w:val="center"/>
                </w:tcPr>
                <w:p>
                  <w:pPr>
                    <w:adjustRightInd w:val="0"/>
                    <w:snapToGrid w:val="0"/>
                    <w:jc w:val="center"/>
                    <w:rPr>
                      <w:szCs w:val="21"/>
                    </w:rPr>
                  </w:pPr>
                  <w:r>
                    <w:rPr>
                      <w:szCs w:val="21"/>
                    </w:rPr>
                    <w:t>每天三次</w:t>
                  </w:r>
                </w:p>
                <w:p>
                  <w:pPr>
                    <w:adjustRightInd w:val="0"/>
                    <w:snapToGrid w:val="0"/>
                    <w:jc w:val="center"/>
                    <w:rPr>
                      <w:szCs w:val="21"/>
                    </w:rPr>
                  </w:pPr>
                  <w:r>
                    <w:rPr>
                      <w:szCs w:val="21"/>
                    </w:rPr>
                    <w:t>连续两天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865" w:type="dxa"/>
                  <w:vMerge w:val="continue"/>
                  <w:tcBorders>
                    <w:bottom w:val="single" w:color="auto" w:sz="4" w:space="0"/>
                  </w:tcBorders>
                  <w:vAlign w:val="center"/>
                </w:tcPr>
                <w:p>
                  <w:pPr>
                    <w:jc w:val="center"/>
                    <w:rPr>
                      <w:szCs w:val="21"/>
                    </w:rPr>
                  </w:pPr>
                </w:p>
              </w:tc>
              <w:tc>
                <w:tcPr>
                  <w:tcW w:w="968" w:type="dxa"/>
                  <w:tcBorders>
                    <w:top w:val="single" w:color="auto" w:sz="4" w:space="0"/>
                    <w:bottom w:val="single" w:color="auto" w:sz="4" w:space="0"/>
                  </w:tcBorders>
                  <w:vAlign w:val="center"/>
                </w:tcPr>
                <w:p>
                  <w:pPr>
                    <w:jc w:val="center"/>
                    <w:rPr>
                      <w:szCs w:val="21"/>
                    </w:rPr>
                  </w:pPr>
                  <w:r>
                    <w:rPr>
                      <w:szCs w:val="21"/>
                    </w:rPr>
                    <w:t>G2~G4</w:t>
                  </w:r>
                </w:p>
              </w:tc>
              <w:tc>
                <w:tcPr>
                  <w:tcW w:w="2701" w:type="dxa"/>
                  <w:vMerge w:val="continue"/>
                  <w:tcBorders>
                    <w:bottom w:val="single" w:color="auto" w:sz="4" w:space="0"/>
                  </w:tcBorders>
                  <w:vAlign w:val="center"/>
                </w:tcPr>
                <w:p>
                  <w:pPr>
                    <w:jc w:val="center"/>
                    <w:rPr>
                      <w:szCs w:val="21"/>
                    </w:rPr>
                  </w:pPr>
                </w:p>
              </w:tc>
              <w:tc>
                <w:tcPr>
                  <w:tcW w:w="3260" w:type="dxa"/>
                  <w:vMerge w:val="continue"/>
                  <w:tcBorders>
                    <w:bottom w:val="single" w:color="auto" w:sz="4" w:space="0"/>
                    <w:right w:val="single" w:color="auto" w:sz="4" w:space="0"/>
                  </w:tcBorders>
                  <w:vAlign w:val="center"/>
                </w:tcPr>
                <w:p>
                  <w:pPr>
                    <w:jc w:val="center"/>
                    <w:rPr>
                      <w:szCs w:val="21"/>
                    </w:rPr>
                  </w:pPr>
                </w:p>
              </w:tc>
              <w:tc>
                <w:tcPr>
                  <w:tcW w:w="1073" w:type="dxa"/>
                  <w:vMerge w:val="continue"/>
                  <w:tcBorders>
                    <w:left w:val="single" w:color="auto" w:sz="4" w:space="0"/>
                    <w:bottom w:val="single" w:color="auto" w:sz="4" w:space="0"/>
                  </w:tcBorders>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7" w:hRule="atLeast"/>
                <w:jc w:val="center"/>
              </w:trPr>
              <w:tc>
                <w:tcPr>
                  <w:tcW w:w="865" w:type="dxa"/>
                  <w:tcBorders>
                    <w:top w:val="single" w:color="auto" w:sz="4" w:space="0"/>
                    <w:bottom w:val="single" w:color="auto" w:sz="12" w:space="0"/>
                  </w:tcBorders>
                  <w:vAlign w:val="center"/>
                </w:tcPr>
                <w:p>
                  <w:pPr>
                    <w:jc w:val="center"/>
                    <w:rPr>
                      <w:szCs w:val="21"/>
                    </w:rPr>
                  </w:pPr>
                  <w:r>
                    <w:rPr>
                      <w:szCs w:val="21"/>
                    </w:rPr>
                    <w:t>噪声</w:t>
                  </w:r>
                </w:p>
              </w:tc>
              <w:tc>
                <w:tcPr>
                  <w:tcW w:w="968" w:type="dxa"/>
                  <w:tcBorders>
                    <w:top w:val="single" w:color="auto" w:sz="4" w:space="0"/>
                    <w:bottom w:val="single" w:color="auto" w:sz="12" w:space="0"/>
                  </w:tcBorders>
                  <w:vAlign w:val="center"/>
                </w:tcPr>
                <w:p>
                  <w:pPr>
                    <w:jc w:val="center"/>
                    <w:rPr>
                      <w:szCs w:val="21"/>
                    </w:rPr>
                  </w:pPr>
                  <w:r>
                    <w:rPr>
                      <w:szCs w:val="21"/>
                    </w:rPr>
                    <w:t>N1~N4</w:t>
                  </w:r>
                </w:p>
              </w:tc>
              <w:tc>
                <w:tcPr>
                  <w:tcW w:w="2701" w:type="dxa"/>
                  <w:tcBorders>
                    <w:top w:val="single" w:color="auto" w:sz="4" w:space="0"/>
                    <w:bottom w:val="single" w:color="auto" w:sz="12" w:space="0"/>
                  </w:tcBorders>
                  <w:vAlign w:val="center"/>
                </w:tcPr>
                <w:p>
                  <w:pPr>
                    <w:jc w:val="center"/>
                    <w:rPr>
                      <w:szCs w:val="21"/>
                    </w:rPr>
                  </w:pPr>
                  <w:r>
                    <w:rPr>
                      <w:szCs w:val="21"/>
                    </w:rPr>
                    <w:t>东、南、西、北厂界外1m</w:t>
                  </w:r>
                </w:p>
              </w:tc>
              <w:tc>
                <w:tcPr>
                  <w:tcW w:w="3260" w:type="dxa"/>
                  <w:tcBorders>
                    <w:top w:val="single" w:color="auto" w:sz="4" w:space="0"/>
                    <w:bottom w:val="single" w:color="auto" w:sz="12" w:space="0"/>
                    <w:right w:val="single" w:color="auto" w:sz="4" w:space="0"/>
                  </w:tcBorders>
                  <w:vAlign w:val="center"/>
                </w:tcPr>
                <w:p>
                  <w:pPr>
                    <w:jc w:val="center"/>
                    <w:rPr>
                      <w:kern w:val="24"/>
                      <w:szCs w:val="21"/>
                    </w:rPr>
                  </w:pPr>
                  <w:r>
                    <w:rPr>
                      <w:kern w:val="24"/>
                      <w:szCs w:val="21"/>
                    </w:rPr>
                    <w:t>厂界噪声</w:t>
                  </w:r>
                </w:p>
              </w:tc>
              <w:tc>
                <w:tcPr>
                  <w:tcW w:w="1073" w:type="dxa"/>
                  <w:tcBorders>
                    <w:top w:val="single" w:color="auto" w:sz="4" w:space="0"/>
                    <w:left w:val="single" w:color="auto" w:sz="4" w:space="0"/>
                    <w:bottom w:val="single" w:color="auto" w:sz="12" w:space="0"/>
                  </w:tcBorders>
                  <w:vAlign w:val="center"/>
                </w:tcPr>
                <w:p>
                  <w:pPr>
                    <w:adjustRightInd w:val="0"/>
                    <w:snapToGrid w:val="0"/>
                    <w:jc w:val="center"/>
                    <w:rPr>
                      <w:szCs w:val="21"/>
                    </w:rPr>
                  </w:pPr>
                  <w:r>
                    <w:rPr>
                      <w:szCs w:val="21"/>
                    </w:rPr>
                    <w:t>连续两天</w:t>
                  </w:r>
                </w:p>
                <w:p>
                  <w:pPr>
                    <w:adjustRightInd w:val="0"/>
                    <w:snapToGrid w:val="0"/>
                    <w:jc w:val="center"/>
                    <w:rPr>
                      <w:szCs w:val="21"/>
                    </w:rPr>
                  </w:pPr>
                  <w:r>
                    <w:rPr>
                      <w:szCs w:val="21"/>
                    </w:rPr>
                    <w:t>昼</w:t>
                  </w:r>
                  <w:r>
                    <w:rPr>
                      <w:rFonts w:hint="eastAsia"/>
                      <w:szCs w:val="21"/>
                    </w:rPr>
                    <w:t>、</w:t>
                  </w:r>
                  <w:r>
                    <w:rPr>
                      <w:szCs w:val="21"/>
                    </w:rPr>
                    <w:t>夜间各一次</w:t>
                  </w:r>
                </w:p>
              </w:tc>
            </w:tr>
          </w:tbl>
          <w:p>
            <w:pPr>
              <w:tabs>
                <w:tab w:val="left" w:pos="360"/>
                <w:tab w:val="left" w:pos="842"/>
              </w:tabs>
              <w:spacing w:line="360" w:lineRule="auto"/>
              <w:jc w:val="center"/>
              <w:rPr>
                <w:sz w:val="24"/>
              </w:rPr>
            </w:pPr>
          </w:p>
        </w:tc>
      </w:tr>
    </w:tbl>
    <w:p>
      <w:pPr>
        <w:widowControl/>
        <w:jc w:val="left"/>
        <w:rPr>
          <w:sz w:val="24"/>
        </w:rPr>
        <w:sectPr>
          <w:pgSz w:w="11906" w:h="16838"/>
          <w:pgMar w:top="1276" w:right="1800" w:bottom="1276" w:left="1800" w:header="851" w:footer="992" w:gutter="0"/>
          <w:pgNumType w:fmt="numberInDash"/>
          <w:cols w:space="720" w:num="1"/>
          <w:docGrid w:type="lines" w:linePitch="312" w:charSpace="0"/>
        </w:sectPr>
      </w:pPr>
    </w:p>
    <w:p>
      <w:pPr>
        <w:outlineLvl w:val="0"/>
        <w:rPr>
          <w:sz w:val="24"/>
        </w:rPr>
      </w:pPr>
      <w:r>
        <w:rPr>
          <w:sz w:val="24"/>
        </w:rPr>
        <w:t>表八</w:t>
      </w:r>
    </w:p>
    <w:tbl>
      <w:tblPr>
        <w:tblStyle w:val="18"/>
        <w:tblW w:w="9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4" w:hRule="atLeast"/>
          <w:jc w:val="center"/>
        </w:trPr>
        <w:tc>
          <w:tcPr>
            <w:tcW w:w="9083" w:type="dxa"/>
            <w:tcBorders>
              <w:bottom w:val="single" w:color="auto" w:sz="4" w:space="0"/>
            </w:tcBorders>
          </w:tcPr>
          <w:p>
            <w:pPr>
              <w:spacing w:line="360" w:lineRule="auto"/>
              <w:rPr>
                <w:b/>
                <w:bCs/>
                <w:sz w:val="24"/>
              </w:rPr>
            </w:pPr>
            <w:r>
              <w:rPr>
                <w:b/>
                <w:bCs/>
                <w:sz w:val="24"/>
              </w:rPr>
              <w:t>验收监测期间生产工况记录：</w:t>
            </w:r>
          </w:p>
          <w:p>
            <w:pPr>
              <w:pStyle w:val="4"/>
              <w:spacing w:line="490" w:lineRule="exact"/>
              <w:ind w:firstLine="480" w:firstLineChars="200"/>
              <w:rPr>
                <w:sz w:val="28"/>
                <w:szCs w:val="28"/>
              </w:rPr>
            </w:pPr>
            <w:r>
              <w:rPr>
                <w:sz w:val="24"/>
              </w:rPr>
              <w:t>森茂检测科技无锡有限公司于2019年</w:t>
            </w:r>
            <w:r>
              <w:rPr>
                <w:rFonts w:hint="eastAsia"/>
                <w:sz w:val="24"/>
              </w:rPr>
              <w:t>3</w:t>
            </w:r>
            <w:r>
              <w:rPr>
                <w:sz w:val="24"/>
              </w:rPr>
              <w:t>月</w:t>
            </w:r>
            <w:r>
              <w:rPr>
                <w:rFonts w:hint="eastAsia"/>
                <w:sz w:val="24"/>
              </w:rPr>
              <w:t>20</w:t>
            </w:r>
            <w:r>
              <w:rPr>
                <w:sz w:val="24"/>
              </w:rPr>
              <w:t>日~</w:t>
            </w:r>
            <w:r>
              <w:rPr>
                <w:rFonts w:hint="eastAsia"/>
                <w:sz w:val="24"/>
              </w:rPr>
              <w:t>21</w:t>
            </w:r>
            <w:r>
              <w:rPr>
                <w:sz w:val="24"/>
              </w:rPr>
              <w:t>日，对该项目中废水、废气、噪声等污染源排放现状和各类环保治理设施的运行状况等进行了现场监测和检查。验收监测期间，生产正常、稳定，各项环保治理设施均正常运行，生产负荷满足竣工验收监测工况条件的要求。</w:t>
            </w:r>
          </w:p>
          <w:p>
            <w:pPr>
              <w:spacing w:beforeLines="50"/>
              <w:ind w:firstLine="472" w:firstLineChars="196"/>
              <w:jc w:val="center"/>
              <w:rPr>
                <w:b/>
                <w:sz w:val="24"/>
              </w:rPr>
            </w:pPr>
            <w:r>
              <w:rPr>
                <w:b/>
                <w:sz w:val="24"/>
              </w:rPr>
              <w:t>表8-1  验收监测期间项目生产情况</w:t>
            </w:r>
          </w:p>
          <w:tbl>
            <w:tblPr>
              <w:tblStyle w:val="18"/>
              <w:tblW w:w="886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29"/>
              <w:gridCol w:w="1614"/>
              <w:gridCol w:w="1682"/>
              <w:gridCol w:w="1683"/>
              <w:gridCol w:w="1683"/>
              <w:gridCol w:w="10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Align w:val="center"/>
                </w:tcPr>
                <w:p>
                  <w:pPr>
                    <w:pStyle w:val="56"/>
                    <w:widowControl/>
                    <w:adjustRightInd w:val="0"/>
                    <w:snapToGrid w:val="0"/>
                    <w:spacing w:line="240" w:lineRule="auto"/>
                    <w:rPr>
                      <w:b/>
                      <w:bCs/>
                      <w:szCs w:val="21"/>
                    </w:rPr>
                  </w:pPr>
                  <w:r>
                    <w:rPr>
                      <w:b/>
                      <w:bCs/>
                      <w:szCs w:val="21"/>
                    </w:rPr>
                    <w:t>日  期</w:t>
                  </w:r>
                </w:p>
              </w:tc>
              <w:tc>
                <w:tcPr>
                  <w:tcW w:w="1614" w:type="dxa"/>
                  <w:vAlign w:val="center"/>
                </w:tcPr>
                <w:p>
                  <w:pPr>
                    <w:pStyle w:val="56"/>
                    <w:widowControl/>
                    <w:adjustRightInd w:val="0"/>
                    <w:snapToGrid w:val="0"/>
                    <w:spacing w:line="240" w:lineRule="auto"/>
                    <w:rPr>
                      <w:b/>
                      <w:bCs/>
                      <w:szCs w:val="21"/>
                    </w:rPr>
                  </w:pPr>
                  <w:r>
                    <w:rPr>
                      <w:b/>
                      <w:bCs/>
                      <w:szCs w:val="21"/>
                    </w:rPr>
                    <w:t>产品名称</w:t>
                  </w:r>
                </w:p>
              </w:tc>
              <w:tc>
                <w:tcPr>
                  <w:tcW w:w="1682" w:type="dxa"/>
                  <w:vAlign w:val="center"/>
                </w:tcPr>
                <w:p>
                  <w:pPr>
                    <w:pStyle w:val="56"/>
                    <w:widowControl/>
                    <w:adjustRightInd w:val="0"/>
                    <w:snapToGrid w:val="0"/>
                    <w:spacing w:line="240" w:lineRule="auto"/>
                    <w:rPr>
                      <w:b/>
                      <w:bCs/>
                      <w:szCs w:val="21"/>
                    </w:rPr>
                  </w:pPr>
                  <w:r>
                    <w:rPr>
                      <w:b/>
                      <w:bCs/>
                      <w:szCs w:val="21"/>
                    </w:rPr>
                    <w:t>设计生产</w:t>
                  </w:r>
                  <w:r>
                    <w:rPr>
                      <w:rFonts w:hint="eastAsia"/>
                      <w:b/>
                      <w:bCs/>
                      <w:szCs w:val="21"/>
                    </w:rPr>
                    <w:t>能力</w:t>
                  </w:r>
                </w:p>
              </w:tc>
              <w:tc>
                <w:tcPr>
                  <w:tcW w:w="1683" w:type="dxa"/>
                  <w:vAlign w:val="center"/>
                </w:tcPr>
                <w:p>
                  <w:pPr>
                    <w:pStyle w:val="56"/>
                    <w:widowControl/>
                    <w:adjustRightInd w:val="0"/>
                    <w:snapToGrid w:val="0"/>
                    <w:spacing w:line="240" w:lineRule="auto"/>
                    <w:rPr>
                      <w:b/>
                      <w:bCs/>
                      <w:szCs w:val="21"/>
                    </w:rPr>
                  </w:pPr>
                  <w:r>
                    <w:rPr>
                      <w:rFonts w:hint="eastAsia"/>
                      <w:b/>
                      <w:bCs/>
                      <w:szCs w:val="21"/>
                    </w:rPr>
                    <w:t>一阶段</w:t>
                  </w:r>
                  <w:r>
                    <w:rPr>
                      <w:b/>
                      <w:bCs/>
                      <w:szCs w:val="21"/>
                    </w:rPr>
                    <w:t>验收产能</w:t>
                  </w:r>
                </w:p>
              </w:tc>
              <w:tc>
                <w:tcPr>
                  <w:tcW w:w="1683" w:type="dxa"/>
                  <w:vAlign w:val="center"/>
                </w:tcPr>
                <w:p>
                  <w:pPr>
                    <w:pStyle w:val="56"/>
                    <w:widowControl/>
                    <w:adjustRightInd w:val="0"/>
                    <w:snapToGrid w:val="0"/>
                    <w:spacing w:line="240" w:lineRule="auto"/>
                    <w:rPr>
                      <w:b/>
                      <w:bCs/>
                      <w:szCs w:val="21"/>
                    </w:rPr>
                  </w:pPr>
                  <w:r>
                    <w:rPr>
                      <w:b/>
                      <w:bCs/>
                      <w:szCs w:val="21"/>
                    </w:rPr>
                    <w:t>实际日生产量</w:t>
                  </w:r>
                </w:p>
              </w:tc>
              <w:tc>
                <w:tcPr>
                  <w:tcW w:w="1076" w:type="dxa"/>
                  <w:vAlign w:val="center"/>
                </w:tcPr>
                <w:p>
                  <w:pPr>
                    <w:pStyle w:val="56"/>
                    <w:widowControl/>
                    <w:adjustRightInd w:val="0"/>
                    <w:snapToGrid w:val="0"/>
                    <w:spacing w:line="240" w:lineRule="auto"/>
                    <w:rPr>
                      <w:b/>
                      <w:bCs/>
                      <w:szCs w:val="21"/>
                    </w:rPr>
                  </w:pPr>
                  <w:r>
                    <w:rPr>
                      <w:b/>
                      <w:bCs/>
                      <w:szCs w:val="21"/>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80" w:hRule="atLeast"/>
                <w:jc w:val="center"/>
              </w:trPr>
              <w:tc>
                <w:tcPr>
                  <w:tcW w:w="1129" w:type="dxa"/>
                  <w:vMerge w:val="restart"/>
                  <w:vAlign w:val="center"/>
                </w:tcPr>
                <w:p>
                  <w:pPr>
                    <w:pStyle w:val="56"/>
                    <w:widowControl/>
                    <w:adjustRightInd w:val="0"/>
                    <w:snapToGrid w:val="0"/>
                    <w:spacing w:line="240" w:lineRule="auto"/>
                    <w:rPr>
                      <w:szCs w:val="21"/>
                    </w:rPr>
                  </w:pPr>
                  <w:r>
                    <w:rPr>
                      <w:szCs w:val="21"/>
                    </w:rPr>
                    <w:t>2019年</w:t>
                  </w:r>
                </w:p>
                <w:p>
                  <w:pPr>
                    <w:pStyle w:val="56"/>
                    <w:widowControl/>
                    <w:adjustRightInd w:val="0"/>
                    <w:snapToGrid w:val="0"/>
                    <w:spacing w:line="240" w:lineRule="auto"/>
                    <w:rPr>
                      <w:szCs w:val="21"/>
                    </w:rPr>
                  </w:pPr>
                  <w:r>
                    <w:rPr>
                      <w:rFonts w:hint="eastAsia"/>
                      <w:szCs w:val="21"/>
                    </w:rPr>
                    <w:t>3</w:t>
                  </w:r>
                  <w:r>
                    <w:rPr>
                      <w:szCs w:val="21"/>
                    </w:rPr>
                    <w:t>月</w:t>
                  </w:r>
                  <w:r>
                    <w:rPr>
                      <w:rFonts w:hint="eastAsia"/>
                      <w:szCs w:val="21"/>
                    </w:rPr>
                    <w:t>20</w:t>
                  </w:r>
                  <w:r>
                    <w:rPr>
                      <w:szCs w:val="21"/>
                    </w:rPr>
                    <w:t>日</w:t>
                  </w:r>
                </w:p>
              </w:tc>
              <w:tc>
                <w:tcPr>
                  <w:tcW w:w="1614" w:type="dxa"/>
                  <w:vAlign w:val="center"/>
                </w:tcPr>
                <w:p>
                  <w:pPr>
                    <w:jc w:val="center"/>
                    <w:rPr>
                      <w:rFonts w:hAnsi="宋体"/>
                      <w:szCs w:val="21"/>
                    </w:rPr>
                  </w:pPr>
                  <w:r>
                    <w:rPr>
                      <w:rFonts w:hAnsi="宋体"/>
                      <w:szCs w:val="21"/>
                    </w:rPr>
                    <w:t>汽车用冷间锻造零件</w:t>
                  </w:r>
                </w:p>
              </w:tc>
              <w:tc>
                <w:tcPr>
                  <w:tcW w:w="1682" w:type="dxa"/>
                  <w:vAlign w:val="center"/>
                </w:tcPr>
                <w:p>
                  <w:pPr>
                    <w:jc w:val="center"/>
                    <w:rPr>
                      <w:rFonts w:hAnsi="宋体"/>
                      <w:szCs w:val="21"/>
                    </w:rPr>
                  </w:pPr>
                  <w:r>
                    <w:rPr>
                      <w:rFonts w:hint="eastAsia" w:hAnsi="宋体"/>
                      <w:szCs w:val="21"/>
                    </w:rPr>
                    <w:t>180万个/年</w:t>
                  </w:r>
                </w:p>
              </w:tc>
              <w:tc>
                <w:tcPr>
                  <w:tcW w:w="1683" w:type="dxa"/>
                  <w:vAlign w:val="center"/>
                </w:tcPr>
                <w:p>
                  <w:pPr>
                    <w:jc w:val="center"/>
                    <w:rPr>
                      <w:rFonts w:hAnsi="宋体"/>
                      <w:szCs w:val="21"/>
                    </w:rPr>
                  </w:pPr>
                  <w:r>
                    <w:rPr>
                      <w:rFonts w:hint="eastAsia" w:hAnsi="宋体"/>
                      <w:szCs w:val="21"/>
                    </w:rPr>
                    <w:t>120万个/年</w:t>
                  </w:r>
                </w:p>
              </w:tc>
              <w:tc>
                <w:tcPr>
                  <w:tcW w:w="1683" w:type="dxa"/>
                  <w:vAlign w:val="center"/>
                </w:tcPr>
                <w:p>
                  <w:pPr>
                    <w:widowControl/>
                    <w:adjustRightInd w:val="0"/>
                    <w:snapToGrid w:val="0"/>
                    <w:jc w:val="center"/>
                    <w:rPr>
                      <w:szCs w:val="21"/>
                    </w:rPr>
                  </w:pPr>
                  <w:r>
                    <w:rPr>
                      <w:rFonts w:hint="eastAsia"/>
                      <w:szCs w:val="21"/>
                    </w:rPr>
                    <w:t>3000个</w:t>
                  </w:r>
                </w:p>
              </w:tc>
              <w:tc>
                <w:tcPr>
                  <w:tcW w:w="1076" w:type="dxa"/>
                  <w:vAlign w:val="center"/>
                </w:tcPr>
                <w:p>
                  <w:pPr>
                    <w:pStyle w:val="56"/>
                    <w:widowControl/>
                    <w:adjustRightInd w:val="0"/>
                    <w:snapToGrid w:val="0"/>
                    <w:spacing w:line="240" w:lineRule="auto"/>
                    <w:rPr>
                      <w:szCs w:val="21"/>
                    </w:rPr>
                  </w:pPr>
                  <w:r>
                    <w:rPr>
                      <w:rFonts w:hint="eastAsia"/>
                      <w:szCs w:val="21"/>
                    </w:rPr>
                    <w:t>75.0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70"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柴油机及汽油机燃油喷射装置</w:t>
                  </w:r>
                </w:p>
              </w:tc>
              <w:tc>
                <w:tcPr>
                  <w:tcW w:w="1682" w:type="dxa"/>
                  <w:vAlign w:val="center"/>
                </w:tcPr>
                <w:p>
                  <w:pPr>
                    <w:jc w:val="center"/>
                    <w:rPr>
                      <w:rFonts w:hAnsi="宋体"/>
                      <w:szCs w:val="21"/>
                    </w:rPr>
                  </w:pPr>
                  <w:r>
                    <w:rPr>
                      <w:rFonts w:hint="eastAsia" w:hAnsi="宋体"/>
                      <w:szCs w:val="21"/>
                    </w:rPr>
                    <w:t>900万套/年</w:t>
                  </w:r>
                </w:p>
              </w:tc>
              <w:tc>
                <w:tcPr>
                  <w:tcW w:w="1683" w:type="dxa"/>
                  <w:vAlign w:val="center"/>
                </w:tcPr>
                <w:p>
                  <w:pPr>
                    <w:jc w:val="center"/>
                    <w:rPr>
                      <w:rFonts w:hAnsi="宋体"/>
                      <w:szCs w:val="21"/>
                    </w:rPr>
                  </w:pPr>
                  <w:r>
                    <w:rPr>
                      <w:rFonts w:hint="eastAsia" w:hAnsi="宋体"/>
                      <w:szCs w:val="21"/>
                    </w:rPr>
                    <w:t>600万套/年</w:t>
                  </w:r>
                </w:p>
              </w:tc>
              <w:tc>
                <w:tcPr>
                  <w:tcW w:w="1683" w:type="dxa"/>
                  <w:vAlign w:val="center"/>
                </w:tcPr>
                <w:p>
                  <w:pPr>
                    <w:adjustRightInd w:val="0"/>
                    <w:snapToGrid w:val="0"/>
                    <w:jc w:val="center"/>
                    <w:rPr>
                      <w:szCs w:val="21"/>
                    </w:rPr>
                  </w:pPr>
                  <w:r>
                    <w:rPr>
                      <w:rFonts w:hint="eastAsia"/>
                      <w:szCs w:val="21"/>
                    </w:rPr>
                    <w:t>16000套</w:t>
                  </w:r>
                </w:p>
              </w:tc>
              <w:tc>
                <w:tcPr>
                  <w:tcW w:w="1076" w:type="dxa"/>
                  <w:vAlign w:val="center"/>
                </w:tcPr>
                <w:p>
                  <w:pPr>
                    <w:pStyle w:val="56"/>
                    <w:adjustRightInd w:val="0"/>
                    <w:snapToGrid w:val="0"/>
                    <w:rPr>
                      <w:szCs w:val="21"/>
                    </w:rPr>
                  </w:pPr>
                  <w:r>
                    <w:rPr>
                      <w:rFonts w:hint="eastAsia"/>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60"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自行车用刹车零部件</w:t>
                  </w:r>
                </w:p>
              </w:tc>
              <w:tc>
                <w:tcPr>
                  <w:tcW w:w="1682" w:type="dxa"/>
                  <w:vAlign w:val="center"/>
                </w:tcPr>
                <w:p>
                  <w:pPr>
                    <w:jc w:val="center"/>
                    <w:rPr>
                      <w:rFonts w:hAnsi="宋体"/>
                      <w:szCs w:val="21"/>
                    </w:rPr>
                  </w:pPr>
                  <w:r>
                    <w:rPr>
                      <w:rFonts w:hint="eastAsia" w:hAnsi="宋体"/>
                      <w:szCs w:val="21"/>
                    </w:rPr>
                    <w:t>720万套/年</w:t>
                  </w:r>
                </w:p>
              </w:tc>
              <w:tc>
                <w:tcPr>
                  <w:tcW w:w="1683" w:type="dxa"/>
                  <w:vAlign w:val="center"/>
                </w:tcPr>
                <w:p>
                  <w:pPr>
                    <w:jc w:val="center"/>
                    <w:rPr>
                      <w:rFonts w:hAnsi="宋体"/>
                      <w:szCs w:val="21"/>
                    </w:rPr>
                  </w:pPr>
                  <w:r>
                    <w:rPr>
                      <w:rFonts w:hint="eastAsia" w:hAnsi="宋体"/>
                      <w:szCs w:val="21"/>
                    </w:rPr>
                    <w:t>480万套/年</w:t>
                  </w:r>
                </w:p>
              </w:tc>
              <w:tc>
                <w:tcPr>
                  <w:tcW w:w="1683" w:type="dxa"/>
                  <w:vAlign w:val="center"/>
                </w:tcPr>
                <w:p>
                  <w:pPr>
                    <w:adjustRightInd w:val="0"/>
                    <w:snapToGrid w:val="0"/>
                    <w:jc w:val="center"/>
                    <w:rPr>
                      <w:szCs w:val="21"/>
                    </w:rPr>
                  </w:pPr>
                  <w:r>
                    <w:rPr>
                      <w:rFonts w:hint="eastAsia"/>
                      <w:szCs w:val="21"/>
                    </w:rPr>
                    <w:t>12500套</w:t>
                  </w:r>
                </w:p>
              </w:tc>
              <w:tc>
                <w:tcPr>
                  <w:tcW w:w="1076" w:type="dxa"/>
                  <w:vAlign w:val="center"/>
                </w:tcPr>
                <w:p>
                  <w:pPr>
                    <w:pStyle w:val="56"/>
                    <w:adjustRightInd w:val="0"/>
                    <w:snapToGrid w:val="0"/>
                    <w:rPr>
                      <w:szCs w:val="21"/>
                    </w:rPr>
                  </w:pPr>
                  <w:r>
                    <w:rPr>
                      <w:rFonts w:hint="eastAsia"/>
                      <w:szCs w:val="21"/>
                    </w:rPr>
                    <w:t>78.1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32"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冷、热间锻造用金属模具</w:t>
                  </w:r>
                </w:p>
              </w:tc>
              <w:tc>
                <w:tcPr>
                  <w:tcW w:w="1682" w:type="dxa"/>
                  <w:vAlign w:val="center"/>
                </w:tcPr>
                <w:p>
                  <w:pPr>
                    <w:jc w:val="center"/>
                    <w:rPr>
                      <w:rFonts w:hAnsi="宋体"/>
                      <w:szCs w:val="21"/>
                    </w:rPr>
                  </w:pPr>
                  <w:r>
                    <w:rPr>
                      <w:rFonts w:hint="eastAsia" w:hAnsi="宋体"/>
                      <w:szCs w:val="21"/>
                    </w:rPr>
                    <w:t>2500公斤/年</w:t>
                  </w:r>
                </w:p>
              </w:tc>
              <w:tc>
                <w:tcPr>
                  <w:tcW w:w="1683" w:type="dxa"/>
                  <w:vAlign w:val="center"/>
                </w:tcPr>
                <w:p>
                  <w:pPr>
                    <w:jc w:val="center"/>
                    <w:rPr>
                      <w:rFonts w:hAnsi="宋体"/>
                      <w:szCs w:val="21"/>
                    </w:rPr>
                  </w:pPr>
                  <w:r>
                    <w:rPr>
                      <w:rFonts w:hint="eastAsia" w:hAnsi="宋体"/>
                      <w:szCs w:val="21"/>
                    </w:rPr>
                    <w:t>1667公斤/年</w:t>
                  </w:r>
                </w:p>
              </w:tc>
              <w:tc>
                <w:tcPr>
                  <w:tcW w:w="1683" w:type="dxa"/>
                  <w:vAlign w:val="center"/>
                </w:tcPr>
                <w:p>
                  <w:pPr>
                    <w:widowControl/>
                    <w:adjustRightInd w:val="0"/>
                    <w:snapToGrid w:val="0"/>
                    <w:jc w:val="center"/>
                    <w:rPr>
                      <w:szCs w:val="21"/>
                    </w:rPr>
                  </w:pPr>
                  <w:r>
                    <w:rPr>
                      <w:rFonts w:hint="eastAsia"/>
                      <w:szCs w:val="21"/>
                    </w:rPr>
                    <w:t>4.5公斤</w:t>
                  </w:r>
                </w:p>
              </w:tc>
              <w:tc>
                <w:tcPr>
                  <w:tcW w:w="1076" w:type="dxa"/>
                  <w:vAlign w:val="center"/>
                </w:tcPr>
                <w:p>
                  <w:pPr>
                    <w:pStyle w:val="56"/>
                    <w:widowControl/>
                    <w:adjustRightInd w:val="0"/>
                    <w:snapToGrid w:val="0"/>
                    <w:spacing w:line="240" w:lineRule="auto"/>
                    <w:rPr>
                      <w:szCs w:val="21"/>
                    </w:rPr>
                  </w:pPr>
                  <w:r>
                    <w:rPr>
                      <w:rFonts w:hint="eastAsia"/>
                      <w:szCs w:val="21"/>
                    </w:rPr>
                    <w:t>81.0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32"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机械零件不锈钢零件</w:t>
                  </w:r>
                </w:p>
              </w:tc>
              <w:tc>
                <w:tcPr>
                  <w:tcW w:w="1682" w:type="dxa"/>
                  <w:vAlign w:val="center"/>
                </w:tcPr>
                <w:p>
                  <w:pPr>
                    <w:jc w:val="center"/>
                    <w:rPr>
                      <w:rFonts w:hAnsi="宋体"/>
                      <w:szCs w:val="21"/>
                    </w:rPr>
                  </w:pPr>
                  <w:r>
                    <w:rPr>
                      <w:rFonts w:hint="eastAsia" w:hAnsi="宋体"/>
                      <w:szCs w:val="21"/>
                    </w:rPr>
                    <w:t>120万个/年</w:t>
                  </w:r>
                </w:p>
              </w:tc>
              <w:tc>
                <w:tcPr>
                  <w:tcW w:w="1683" w:type="dxa"/>
                  <w:vAlign w:val="center"/>
                </w:tcPr>
                <w:p>
                  <w:pPr>
                    <w:jc w:val="center"/>
                    <w:rPr>
                      <w:rFonts w:hAnsi="宋体"/>
                      <w:szCs w:val="21"/>
                    </w:rPr>
                  </w:pPr>
                  <w:r>
                    <w:rPr>
                      <w:rFonts w:hint="eastAsia" w:hAnsi="宋体"/>
                      <w:szCs w:val="21"/>
                    </w:rPr>
                    <w:t>80万个/年</w:t>
                  </w:r>
                </w:p>
              </w:tc>
              <w:tc>
                <w:tcPr>
                  <w:tcW w:w="1683" w:type="dxa"/>
                  <w:vAlign w:val="center"/>
                </w:tcPr>
                <w:p>
                  <w:pPr>
                    <w:widowControl/>
                    <w:adjustRightInd w:val="0"/>
                    <w:snapToGrid w:val="0"/>
                    <w:jc w:val="center"/>
                    <w:rPr>
                      <w:szCs w:val="21"/>
                    </w:rPr>
                  </w:pPr>
                  <w:r>
                    <w:rPr>
                      <w:rFonts w:hint="eastAsia"/>
                      <w:szCs w:val="21"/>
                    </w:rPr>
                    <w:t>2100个</w:t>
                  </w:r>
                </w:p>
              </w:tc>
              <w:tc>
                <w:tcPr>
                  <w:tcW w:w="1076" w:type="dxa"/>
                  <w:vAlign w:val="center"/>
                </w:tcPr>
                <w:p>
                  <w:pPr>
                    <w:pStyle w:val="56"/>
                    <w:widowControl/>
                    <w:adjustRightInd w:val="0"/>
                    <w:snapToGrid w:val="0"/>
                    <w:spacing w:line="240" w:lineRule="auto"/>
                    <w:rPr>
                      <w:szCs w:val="21"/>
                    </w:rPr>
                  </w:pPr>
                  <w:r>
                    <w:rPr>
                      <w:rFonts w:hint="eastAsia"/>
                      <w:szCs w:val="21"/>
                    </w:rPr>
                    <w:t>78.8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170"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Ansi="宋体"/>
                      <w:szCs w:val="21"/>
                    </w:rPr>
                    <w:t>汽车用继电器零件</w:t>
                  </w:r>
                </w:p>
              </w:tc>
              <w:tc>
                <w:tcPr>
                  <w:tcW w:w="1682" w:type="dxa"/>
                  <w:vAlign w:val="center"/>
                </w:tcPr>
                <w:p>
                  <w:pPr>
                    <w:jc w:val="center"/>
                    <w:rPr>
                      <w:rFonts w:hAnsi="宋体"/>
                      <w:szCs w:val="21"/>
                    </w:rPr>
                  </w:pPr>
                  <w:r>
                    <w:rPr>
                      <w:rFonts w:hint="eastAsia" w:hAnsi="宋体"/>
                      <w:szCs w:val="21"/>
                    </w:rPr>
                    <w:t>240万套/年</w:t>
                  </w:r>
                </w:p>
              </w:tc>
              <w:tc>
                <w:tcPr>
                  <w:tcW w:w="1683" w:type="dxa"/>
                  <w:vAlign w:val="center"/>
                </w:tcPr>
                <w:p>
                  <w:pPr>
                    <w:jc w:val="center"/>
                    <w:rPr>
                      <w:rFonts w:hAnsi="宋体"/>
                      <w:szCs w:val="21"/>
                    </w:rPr>
                  </w:pPr>
                  <w:r>
                    <w:rPr>
                      <w:rFonts w:hint="eastAsia" w:hAnsi="宋体"/>
                      <w:szCs w:val="21"/>
                    </w:rPr>
                    <w:t>160万套/年</w:t>
                  </w:r>
                </w:p>
              </w:tc>
              <w:tc>
                <w:tcPr>
                  <w:tcW w:w="1683" w:type="dxa"/>
                  <w:vAlign w:val="center"/>
                </w:tcPr>
                <w:p>
                  <w:pPr>
                    <w:widowControl/>
                    <w:adjustRightInd w:val="0"/>
                    <w:snapToGrid w:val="0"/>
                    <w:jc w:val="center"/>
                    <w:rPr>
                      <w:szCs w:val="21"/>
                    </w:rPr>
                  </w:pPr>
                  <w:r>
                    <w:rPr>
                      <w:rFonts w:hint="eastAsia"/>
                      <w:szCs w:val="21"/>
                    </w:rPr>
                    <w:t>4100套</w:t>
                  </w:r>
                </w:p>
              </w:tc>
              <w:tc>
                <w:tcPr>
                  <w:tcW w:w="1076" w:type="dxa"/>
                  <w:vAlign w:val="center"/>
                </w:tcPr>
                <w:p>
                  <w:pPr>
                    <w:pStyle w:val="56"/>
                    <w:widowControl/>
                    <w:adjustRightInd w:val="0"/>
                    <w:snapToGrid w:val="0"/>
                    <w:spacing w:line="240" w:lineRule="auto"/>
                    <w:rPr>
                      <w:szCs w:val="21"/>
                    </w:rPr>
                  </w:pPr>
                  <w:r>
                    <w:rPr>
                      <w:rFonts w:hint="eastAsia"/>
                      <w:szCs w:val="21"/>
                    </w:rPr>
                    <w:t>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restart"/>
                  <w:vAlign w:val="center"/>
                </w:tcPr>
                <w:p>
                  <w:pPr>
                    <w:pStyle w:val="56"/>
                    <w:widowControl/>
                    <w:adjustRightInd w:val="0"/>
                    <w:snapToGrid w:val="0"/>
                    <w:spacing w:line="240" w:lineRule="auto"/>
                    <w:rPr>
                      <w:szCs w:val="21"/>
                    </w:rPr>
                  </w:pPr>
                  <w:r>
                    <w:rPr>
                      <w:szCs w:val="21"/>
                    </w:rPr>
                    <w:t>2019年</w:t>
                  </w:r>
                </w:p>
                <w:p>
                  <w:pPr>
                    <w:pStyle w:val="56"/>
                    <w:widowControl/>
                    <w:adjustRightInd w:val="0"/>
                    <w:snapToGrid w:val="0"/>
                    <w:spacing w:line="240" w:lineRule="auto"/>
                    <w:rPr>
                      <w:szCs w:val="21"/>
                    </w:rPr>
                  </w:pPr>
                  <w:r>
                    <w:rPr>
                      <w:rFonts w:hint="eastAsia"/>
                      <w:szCs w:val="21"/>
                    </w:rPr>
                    <w:t>3</w:t>
                  </w:r>
                  <w:r>
                    <w:rPr>
                      <w:szCs w:val="21"/>
                    </w:rPr>
                    <w:t>月</w:t>
                  </w:r>
                  <w:r>
                    <w:rPr>
                      <w:rFonts w:hint="eastAsia"/>
                      <w:szCs w:val="21"/>
                    </w:rPr>
                    <w:t>21</w:t>
                  </w:r>
                  <w:r>
                    <w:rPr>
                      <w:szCs w:val="21"/>
                    </w:rPr>
                    <w:t>日</w:t>
                  </w:r>
                </w:p>
              </w:tc>
              <w:tc>
                <w:tcPr>
                  <w:tcW w:w="1614" w:type="dxa"/>
                  <w:vAlign w:val="center"/>
                </w:tcPr>
                <w:p>
                  <w:pPr>
                    <w:jc w:val="center"/>
                    <w:rPr>
                      <w:rFonts w:hAnsi="宋体"/>
                      <w:szCs w:val="21"/>
                    </w:rPr>
                  </w:pPr>
                  <w:r>
                    <w:rPr>
                      <w:rFonts w:hAnsi="宋体"/>
                      <w:szCs w:val="21"/>
                    </w:rPr>
                    <w:t>汽车用冷间锻造零件</w:t>
                  </w:r>
                </w:p>
              </w:tc>
              <w:tc>
                <w:tcPr>
                  <w:tcW w:w="1682" w:type="dxa"/>
                  <w:vAlign w:val="center"/>
                </w:tcPr>
                <w:p>
                  <w:pPr>
                    <w:jc w:val="center"/>
                    <w:rPr>
                      <w:rFonts w:hAnsi="宋体"/>
                      <w:szCs w:val="21"/>
                    </w:rPr>
                  </w:pPr>
                  <w:r>
                    <w:rPr>
                      <w:rFonts w:hint="eastAsia" w:hAnsi="宋体"/>
                      <w:szCs w:val="21"/>
                    </w:rPr>
                    <w:t>180万个/年</w:t>
                  </w:r>
                </w:p>
              </w:tc>
              <w:tc>
                <w:tcPr>
                  <w:tcW w:w="1683" w:type="dxa"/>
                  <w:vAlign w:val="center"/>
                </w:tcPr>
                <w:p>
                  <w:pPr>
                    <w:jc w:val="center"/>
                    <w:rPr>
                      <w:rFonts w:hAnsi="宋体"/>
                      <w:szCs w:val="21"/>
                    </w:rPr>
                  </w:pPr>
                  <w:r>
                    <w:rPr>
                      <w:rFonts w:hint="eastAsia" w:hAnsi="宋体"/>
                      <w:szCs w:val="21"/>
                    </w:rPr>
                    <w:t>120万个/年</w:t>
                  </w:r>
                </w:p>
              </w:tc>
              <w:tc>
                <w:tcPr>
                  <w:tcW w:w="1683" w:type="dxa"/>
                  <w:vAlign w:val="center"/>
                </w:tcPr>
                <w:p>
                  <w:pPr>
                    <w:widowControl/>
                    <w:adjustRightInd w:val="0"/>
                    <w:snapToGrid w:val="0"/>
                    <w:jc w:val="center"/>
                    <w:rPr>
                      <w:szCs w:val="21"/>
                    </w:rPr>
                  </w:pPr>
                  <w:r>
                    <w:rPr>
                      <w:rFonts w:hint="eastAsia"/>
                      <w:szCs w:val="21"/>
                    </w:rPr>
                    <w:t>3200个</w:t>
                  </w:r>
                </w:p>
              </w:tc>
              <w:tc>
                <w:tcPr>
                  <w:tcW w:w="1076" w:type="dxa"/>
                  <w:vAlign w:val="center"/>
                </w:tcPr>
                <w:p>
                  <w:pPr>
                    <w:widowControl/>
                    <w:adjustRightInd w:val="0"/>
                    <w:snapToGrid w:val="0"/>
                    <w:jc w:val="center"/>
                    <w:rPr>
                      <w:szCs w:val="21"/>
                    </w:rPr>
                  </w:pPr>
                  <w:r>
                    <w:rPr>
                      <w:rFonts w:hint="eastAsia"/>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柴油机及汽油机燃油喷射装置</w:t>
                  </w:r>
                </w:p>
              </w:tc>
              <w:tc>
                <w:tcPr>
                  <w:tcW w:w="1682" w:type="dxa"/>
                  <w:vAlign w:val="center"/>
                </w:tcPr>
                <w:p>
                  <w:pPr>
                    <w:jc w:val="center"/>
                    <w:rPr>
                      <w:rFonts w:hAnsi="宋体"/>
                      <w:szCs w:val="21"/>
                    </w:rPr>
                  </w:pPr>
                  <w:r>
                    <w:rPr>
                      <w:rFonts w:hint="eastAsia" w:hAnsi="宋体"/>
                      <w:szCs w:val="21"/>
                    </w:rPr>
                    <w:t>900万套/年</w:t>
                  </w:r>
                </w:p>
              </w:tc>
              <w:tc>
                <w:tcPr>
                  <w:tcW w:w="1683" w:type="dxa"/>
                  <w:vAlign w:val="center"/>
                </w:tcPr>
                <w:p>
                  <w:pPr>
                    <w:jc w:val="center"/>
                    <w:rPr>
                      <w:rFonts w:hAnsi="宋体"/>
                      <w:szCs w:val="21"/>
                    </w:rPr>
                  </w:pPr>
                  <w:r>
                    <w:rPr>
                      <w:rFonts w:hint="eastAsia" w:hAnsi="宋体"/>
                      <w:szCs w:val="21"/>
                    </w:rPr>
                    <w:t>600万套/年</w:t>
                  </w:r>
                </w:p>
              </w:tc>
              <w:tc>
                <w:tcPr>
                  <w:tcW w:w="1683" w:type="dxa"/>
                  <w:vAlign w:val="center"/>
                </w:tcPr>
                <w:p>
                  <w:pPr>
                    <w:widowControl/>
                    <w:adjustRightInd w:val="0"/>
                    <w:snapToGrid w:val="0"/>
                    <w:jc w:val="center"/>
                    <w:rPr>
                      <w:szCs w:val="21"/>
                    </w:rPr>
                  </w:pPr>
                  <w:r>
                    <w:rPr>
                      <w:rFonts w:hint="eastAsia"/>
                      <w:szCs w:val="21"/>
                    </w:rPr>
                    <w:t>16500套</w:t>
                  </w:r>
                </w:p>
              </w:tc>
              <w:tc>
                <w:tcPr>
                  <w:tcW w:w="1076" w:type="dxa"/>
                  <w:vAlign w:val="center"/>
                </w:tcPr>
                <w:p>
                  <w:pPr>
                    <w:widowControl/>
                    <w:adjustRightInd w:val="0"/>
                    <w:snapToGrid w:val="0"/>
                    <w:jc w:val="center"/>
                    <w:rPr>
                      <w:szCs w:val="21"/>
                    </w:rPr>
                  </w:pPr>
                  <w:r>
                    <w:rPr>
                      <w:rFonts w:hint="eastAsia"/>
                      <w:szCs w:val="21"/>
                    </w:rPr>
                    <w:t>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自行车用刹车零部件</w:t>
                  </w:r>
                </w:p>
              </w:tc>
              <w:tc>
                <w:tcPr>
                  <w:tcW w:w="1682" w:type="dxa"/>
                  <w:vAlign w:val="center"/>
                </w:tcPr>
                <w:p>
                  <w:pPr>
                    <w:jc w:val="center"/>
                    <w:rPr>
                      <w:rFonts w:hAnsi="宋体"/>
                      <w:szCs w:val="21"/>
                    </w:rPr>
                  </w:pPr>
                  <w:r>
                    <w:rPr>
                      <w:rFonts w:hint="eastAsia" w:hAnsi="宋体"/>
                      <w:szCs w:val="21"/>
                    </w:rPr>
                    <w:t>720万套/年</w:t>
                  </w:r>
                </w:p>
              </w:tc>
              <w:tc>
                <w:tcPr>
                  <w:tcW w:w="1683" w:type="dxa"/>
                  <w:vAlign w:val="center"/>
                </w:tcPr>
                <w:p>
                  <w:pPr>
                    <w:jc w:val="center"/>
                    <w:rPr>
                      <w:rFonts w:hAnsi="宋体"/>
                      <w:szCs w:val="21"/>
                    </w:rPr>
                  </w:pPr>
                  <w:r>
                    <w:rPr>
                      <w:rFonts w:hint="eastAsia" w:hAnsi="宋体"/>
                      <w:szCs w:val="21"/>
                    </w:rPr>
                    <w:t>480万套/年</w:t>
                  </w:r>
                </w:p>
              </w:tc>
              <w:tc>
                <w:tcPr>
                  <w:tcW w:w="1683" w:type="dxa"/>
                  <w:vAlign w:val="center"/>
                </w:tcPr>
                <w:p>
                  <w:pPr>
                    <w:widowControl/>
                    <w:adjustRightInd w:val="0"/>
                    <w:snapToGrid w:val="0"/>
                    <w:jc w:val="center"/>
                    <w:rPr>
                      <w:szCs w:val="21"/>
                    </w:rPr>
                  </w:pPr>
                  <w:r>
                    <w:rPr>
                      <w:rFonts w:hint="eastAsia"/>
                      <w:szCs w:val="21"/>
                    </w:rPr>
                    <w:t>13000套</w:t>
                  </w:r>
                </w:p>
              </w:tc>
              <w:tc>
                <w:tcPr>
                  <w:tcW w:w="1076" w:type="dxa"/>
                  <w:vAlign w:val="center"/>
                </w:tcPr>
                <w:p>
                  <w:pPr>
                    <w:widowControl/>
                    <w:adjustRightInd w:val="0"/>
                    <w:snapToGrid w:val="0"/>
                    <w:jc w:val="center"/>
                    <w:rPr>
                      <w:szCs w:val="21"/>
                    </w:rPr>
                  </w:pPr>
                  <w:r>
                    <w:rPr>
                      <w:rFonts w:hint="eastAsia"/>
                      <w:szCs w:val="21"/>
                    </w:rPr>
                    <w:t>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冷、热间锻造用金属模具</w:t>
                  </w:r>
                </w:p>
              </w:tc>
              <w:tc>
                <w:tcPr>
                  <w:tcW w:w="1682" w:type="dxa"/>
                  <w:vAlign w:val="center"/>
                </w:tcPr>
                <w:p>
                  <w:pPr>
                    <w:jc w:val="center"/>
                    <w:rPr>
                      <w:rFonts w:hAnsi="宋体"/>
                      <w:szCs w:val="21"/>
                    </w:rPr>
                  </w:pPr>
                  <w:r>
                    <w:rPr>
                      <w:rFonts w:hint="eastAsia" w:hAnsi="宋体"/>
                      <w:szCs w:val="21"/>
                    </w:rPr>
                    <w:t>2500公斤/年</w:t>
                  </w:r>
                </w:p>
              </w:tc>
              <w:tc>
                <w:tcPr>
                  <w:tcW w:w="1683" w:type="dxa"/>
                  <w:vAlign w:val="center"/>
                </w:tcPr>
                <w:p>
                  <w:pPr>
                    <w:jc w:val="center"/>
                    <w:rPr>
                      <w:rFonts w:hAnsi="宋体"/>
                      <w:szCs w:val="21"/>
                    </w:rPr>
                  </w:pPr>
                  <w:r>
                    <w:rPr>
                      <w:rFonts w:hint="eastAsia" w:hAnsi="宋体"/>
                      <w:szCs w:val="21"/>
                    </w:rPr>
                    <w:t>1667公斤/年</w:t>
                  </w:r>
                </w:p>
              </w:tc>
              <w:tc>
                <w:tcPr>
                  <w:tcW w:w="1683" w:type="dxa"/>
                  <w:vAlign w:val="center"/>
                </w:tcPr>
                <w:p>
                  <w:pPr>
                    <w:widowControl/>
                    <w:adjustRightInd w:val="0"/>
                    <w:snapToGrid w:val="0"/>
                    <w:jc w:val="center"/>
                    <w:rPr>
                      <w:szCs w:val="21"/>
                    </w:rPr>
                  </w:pPr>
                  <w:r>
                    <w:rPr>
                      <w:rFonts w:hint="eastAsia"/>
                      <w:szCs w:val="21"/>
                    </w:rPr>
                    <w:t>4.7公斤</w:t>
                  </w:r>
                </w:p>
              </w:tc>
              <w:tc>
                <w:tcPr>
                  <w:tcW w:w="1076" w:type="dxa"/>
                  <w:vAlign w:val="center"/>
                </w:tcPr>
                <w:p>
                  <w:pPr>
                    <w:widowControl/>
                    <w:adjustRightInd w:val="0"/>
                    <w:snapToGrid w:val="0"/>
                    <w:jc w:val="center"/>
                    <w:rPr>
                      <w:szCs w:val="21"/>
                    </w:rPr>
                  </w:pPr>
                  <w:r>
                    <w:rPr>
                      <w:rFonts w:hint="eastAsia"/>
                      <w:szCs w:val="21"/>
                    </w:rPr>
                    <w:t>84.6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int="eastAsia" w:hAnsi="宋体"/>
                      <w:szCs w:val="21"/>
                    </w:rPr>
                    <w:t>机械零件不锈钢零件</w:t>
                  </w:r>
                </w:p>
              </w:tc>
              <w:tc>
                <w:tcPr>
                  <w:tcW w:w="1682" w:type="dxa"/>
                  <w:vAlign w:val="center"/>
                </w:tcPr>
                <w:p>
                  <w:pPr>
                    <w:jc w:val="center"/>
                    <w:rPr>
                      <w:rFonts w:hAnsi="宋体"/>
                      <w:szCs w:val="21"/>
                    </w:rPr>
                  </w:pPr>
                  <w:r>
                    <w:rPr>
                      <w:rFonts w:hint="eastAsia" w:hAnsi="宋体"/>
                      <w:szCs w:val="21"/>
                    </w:rPr>
                    <w:t>120万个/年</w:t>
                  </w:r>
                </w:p>
              </w:tc>
              <w:tc>
                <w:tcPr>
                  <w:tcW w:w="1683" w:type="dxa"/>
                  <w:vAlign w:val="center"/>
                </w:tcPr>
                <w:p>
                  <w:pPr>
                    <w:jc w:val="center"/>
                    <w:rPr>
                      <w:rFonts w:hAnsi="宋体"/>
                      <w:szCs w:val="21"/>
                    </w:rPr>
                  </w:pPr>
                  <w:r>
                    <w:rPr>
                      <w:rFonts w:hint="eastAsia" w:hAnsi="宋体"/>
                      <w:szCs w:val="21"/>
                    </w:rPr>
                    <w:t>80万个/年</w:t>
                  </w:r>
                </w:p>
              </w:tc>
              <w:tc>
                <w:tcPr>
                  <w:tcW w:w="1683" w:type="dxa"/>
                  <w:vAlign w:val="center"/>
                </w:tcPr>
                <w:p>
                  <w:pPr>
                    <w:widowControl/>
                    <w:adjustRightInd w:val="0"/>
                    <w:snapToGrid w:val="0"/>
                    <w:jc w:val="center"/>
                    <w:rPr>
                      <w:szCs w:val="21"/>
                    </w:rPr>
                  </w:pPr>
                  <w:r>
                    <w:rPr>
                      <w:rFonts w:hint="eastAsia"/>
                      <w:szCs w:val="21"/>
                    </w:rPr>
                    <w:t>2050个</w:t>
                  </w:r>
                </w:p>
              </w:tc>
              <w:tc>
                <w:tcPr>
                  <w:tcW w:w="1076" w:type="dxa"/>
                  <w:vAlign w:val="center"/>
                </w:tcPr>
                <w:p>
                  <w:pPr>
                    <w:widowControl/>
                    <w:adjustRightInd w:val="0"/>
                    <w:snapToGrid w:val="0"/>
                    <w:jc w:val="center"/>
                    <w:rPr>
                      <w:szCs w:val="21"/>
                    </w:rPr>
                  </w:pPr>
                  <w:r>
                    <w:rPr>
                      <w:rFonts w:hint="eastAsia"/>
                      <w:szCs w:val="21"/>
                    </w:rPr>
                    <w:t>76.9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1129" w:type="dxa"/>
                  <w:vMerge w:val="continue"/>
                  <w:vAlign w:val="center"/>
                </w:tcPr>
                <w:p>
                  <w:pPr>
                    <w:pStyle w:val="56"/>
                    <w:widowControl/>
                    <w:adjustRightInd w:val="0"/>
                    <w:snapToGrid w:val="0"/>
                    <w:spacing w:line="240" w:lineRule="auto"/>
                    <w:rPr>
                      <w:szCs w:val="21"/>
                    </w:rPr>
                  </w:pPr>
                </w:p>
              </w:tc>
              <w:tc>
                <w:tcPr>
                  <w:tcW w:w="1614" w:type="dxa"/>
                  <w:vAlign w:val="center"/>
                </w:tcPr>
                <w:p>
                  <w:pPr>
                    <w:jc w:val="center"/>
                    <w:rPr>
                      <w:rFonts w:hAnsi="宋体"/>
                      <w:szCs w:val="21"/>
                    </w:rPr>
                  </w:pPr>
                  <w:r>
                    <w:rPr>
                      <w:rFonts w:hAnsi="宋体"/>
                      <w:szCs w:val="21"/>
                    </w:rPr>
                    <w:t>汽车用继电器零件</w:t>
                  </w:r>
                </w:p>
              </w:tc>
              <w:tc>
                <w:tcPr>
                  <w:tcW w:w="1682" w:type="dxa"/>
                  <w:vAlign w:val="center"/>
                </w:tcPr>
                <w:p>
                  <w:pPr>
                    <w:jc w:val="center"/>
                    <w:rPr>
                      <w:rFonts w:hAnsi="宋体"/>
                      <w:szCs w:val="21"/>
                    </w:rPr>
                  </w:pPr>
                  <w:r>
                    <w:rPr>
                      <w:rFonts w:hint="eastAsia" w:hAnsi="宋体"/>
                      <w:szCs w:val="21"/>
                    </w:rPr>
                    <w:t>240万套/年</w:t>
                  </w:r>
                </w:p>
              </w:tc>
              <w:tc>
                <w:tcPr>
                  <w:tcW w:w="1683" w:type="dxa"/>
                  <w:vAlign w:val="center"/>
                </w:tcPr>
                <w:p>
                  <w:pPr>
                    <w:jc w:val="center"/>
                    <w:rPr>
                      <w:rFonts w:hAnsi="宋体"/>
                      <w:szCs w:val="21"/>
                    </w:rPr>
                  </w:pPr>
                  <w:r>
                    <w:rPr>
                      <w:rFonts w:hint="eastAsia" w:hAnsi="宋体"/>
                      <w:szCs w:val="21"/>
                    </w:rPr>
                    <w:t>160万套/年</w:t>
                  </w:r>
                </w:p>
              </w:tc>
              <w:tc>
                <w:tcPr>
                  <w:tcW w:w="1683" w:type="dxa"/>
                  <w:vAlign w:val="center"/>
                </w:tcPr>
                <w:p>
                  <w:pPr>
                    <w:widowControl/>
                    <w:adjustRightInd w:val="0"/>
                    <w:snapToGrid w:val="0"/>
                    <w:jc w:val="center"/>
                    <w:rPr>
                      <w:szCs w:val="21"/>
                    </w:rPr>
                  </w:pPr>
                  <w:r>
                    <w:rPr>
                      <w:rFonts w:hint="eastAsia"/>
                      <w:szCs w:val="21"/>
                    </w:rPr>
                    <w:t>4000套</w:t>
                  </w:r>
                </w:p>
              </w:tc>
              <w:tc>
                <w:tcPr>
                  <w:tcW w:w="1076" w:type="dxa"/>
                  <w:vAlign w:val="center"/>
                </w:tcPr>
                <w:p>
                  <w:pPr>
                    <w:widowControl/>
                    <w:adjustRightInd w:val="0"/>
                    <w:snapToGrid w:val="0"/>
                    <w:jc w:val="center"/>
                    <w:rPr>
                      <w:szCs w:val="21"/>
                    </w:rPr>
                  </w:pPr>
                  <w:r>
                    <w:rPr>
                      <w:rFonts w:hint="eastAsia"/>
                      <w:szCs w:val="21"/>
                    </w:rPr>
                    <w:t>75.0</w:t>
                  </w:r>
                </w:p>
              </w:tc>
            </w:tr>
          </w:tbl>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0" w:hRule="atLeast"/>
          <w:jc w:val="center"/>
        </w:trPr>
        <w:tc>
          <w:tcPr>
            <w:tcW w:w="9083" w:type="dxa"/>
            <w:tcBorders>
              <w:top w:val="single" w:color="auto" w:sz="4" w:space="0"/>
            </w:tcBorders>
          </w:tcPr>
          <w:p>
            <w:pPr>
              <w:spacing w:line="360" w:lineRule="auto"/>
              <w:rPr>
                <w:b/>
                <w:sz w:val="24"/>
              </w:rPr>
            </w:pPr>
            <w:r>
              <w:rPr>
                <w:b/>
                <w:sz w:val="24"/>
              </w:rPr>
              <w:t>验收监测结果：</w:t>
            </w:r>
          </w:p>
          <w:p>
            <w:pPr>
              <w:spacing w:line="360" w:lineRule="auto"/>
              <w:ind w:firstLine="480" w:firstLineChars="200"/>
              <w:rPr>
                <w:sz w:val="24"/>
              </w:rPr>
            </w:pPr>
            <w:r>
              <w:rPr>
                <w:sz w:val="24"/>
              </w:rPr>
              <w:t>本次验收监测对废水、废气、噪声进行了监测，监测结果表明：</w:t>
            </w:r>
          </w:p>
          <w:p>
            <w:pPr>
              <w:numPr>
                <w:ilvl w:val="0"/>
                <w:numId w:val="6"/>
              </w:numPr>
              <w:adjustRightInd w:val="0"/>
              <w:snapToGrid w:val="0"/>
              <w:spacing w:line="360" w:lineRule="auto"/>
              <w:ind w:firstLine="480" w:firstLineChars="200"/>
              <w:rPr>
                <w:sz w:val="24"/>
              </w:rPr>
            </w:pPr>
            <w:r>
              <w:rPr>
                <w:sz w:val="24"/>
              </w:rPr>
              <w:t>监测期间，污水总排口中化学需氧量、悬浮物</w:t>
            </w:r>
            <w:r>
              <w:rPr>
                <w:rFonts w:hint="eastAsia"/>
                <w:sz w:val="24"/>
              </w:rPr>
              <w:t>、</w:t>
            </w:r>
            <w:r>
              <w:rPr>
                <w:sz w:val="24"/>
              </w:rPr>
              <w:t>氨氮、总磷、</w:t>
            </w:r>
            <w:r>
              <w:rPr>
                <w:rFonts w:hint="eastAsia"/>
                <w:sz w:val="24"/>
              </w:rPr>
              <w:t>石油类、</w:t>
            </w:r>
            <w:r>
              <w:rPr>
                <w:sz w:val="24"/>
              </w:rPr>
              <w:t>动植物油油</w:t>
            </w:r>
            <w:r>
              <w:rPr>
                <w:rFonts w:hint="eastAsia"/>
                <w:sz w:val="24"/>
              </w:rPr>
              <w:t>日均</w:t>
            </w:r>
            <w:r>
              <w:rPr>
                <w:sz w:val="24"/>
              </w:rPr>
              <w:t>排放浓度及pH值《污水排入城镇下水道水质标准》（GB/T31962-2015）表1 B等级标准。</w:t>
            </w:r>
          </w:p>
          <w:p>
            <w:pPr>
              <w:numPr>
                <w:ilvl w:val="0"/>
                <w:numId w:val="6"/>
              </w:numPr>
              <w:adjustRightInd w:val="0"/>
              <w:snapToGrid w:val="0"/>
              <w:spacing w:line="360" w:lineRule="auto"/>
              <w:ind w:firstLine="480" w:firstLineChars="200"/>
              <w:rPr>
                <w:sz w:val="24"/>
              </w:rPr>
            </w:pPr>
            <w:r>
              <w:rPr>
                <w:rFonts w:hint="eastAsia"/>
                <w:sz w:val="24"/>
              </w:rPr>
              <w:t>监测期间，回火、退火工序排气筒及脱脂清洗、淬火工序排气筒</w:t>
            </w:r>
            <w:r>
              <w:rPr>
                <w:sz w:val="24"/>
              </w:rPr>
              <w:t>出口中非甲烷总烃排放浓度及排放速率</w:t>
            </w:r>
            <w:r>
              <w:rPr>
                <w:rFonts w:hint="eastAsia"/>
                <w:sz w:val="24"/>
              </w:rPr>
              <w:t>满足</w:t>
            </w:r>
            <w:r>
              <w:rPr>
                <w:sz w:val="24"/>
              </w:rPr>
              <w:t>《大气污染物综合排放标准》（GB16297-1996）表2二级标准及无组织排放限值。</w:t>
            </w:r>
          </w:p>
          <w:p>
            <w:pPr>
              <w:numPr>
                <w:ilvl w:val="0"/>
                <w:numId w:val="6"/>
              </w:numPr>
              <w:adjustRightInd w:val="0"/>
              <w:snapToGrid w:val="0"/>
              <w:spacing w:line="360" w:lineRule="auto"/>
              <w:ind w:firstLine="480" w:firstLineChars="200"/>
              <w:rPr>
                <w:sz w:val="24"/>
              </w:rPr>
            </w:pPr>
            <w:r>
              <w:rPr>
                <w:sz w:val="24"/>
              </w:rPr>
              <w:t>监测期间，厂界无组织废气监控点位的非甲烷总烃浓度满足《大气污染物综合排放标准》（GB16297-1996）表2中无组织排放浓度限值要求。</w:t>
            </w:r>
          </w:p>
          <w:p>
            <w:pPr>
              <w:numPr>
                <w:ilvl w:val="0"/>
                <w:numId w:val="6"/>
              </w:numPr>
              <w:adjustRightInd w:val="0"/>
              <w:snapToGrid w:val="0"/>
              <w:spacing w:line="360" w:lineRule="auto"/>
              <w:ind w:firstLine="480" w:firstLineChars="200"/>
              <w:rPr>
                <w:sz w:val="24"/>
              </w:rPr>
            </w:pPr>
            <w:r>
              <w:rPr>
                <w:sz w:val="24"/>
              </w:rPr>
              <w:t>监测期间，项目厂界噪声监测点昼</w:t>
            </w:r>
            <w:r>
              <w:rPr>
                <w:rFonts w:hint="eastAsia"/>
                <w:sz w:val="24"/>
              </w:rPr>
              <w:t>、</w:t>
            </w:r>
            <w:r>
              <w:rPr>
                <w:sz w:val="24"/>
              </w:rPr>
              <w:t>夜间等效声级满足《工业企业厂界环境噪声排放标准》（GB12348-2008）</w:t>
            </w:r>
            <w:r>
              <w:rPr>
                <w:rFonts w:hint="eastAsia"/>
                <w:sz w:val="24"/>
              </w:rPr>
              <w:t>3</w:t>
            </w:r>
            <w:r>
              <w:rPr>
                <w:sz w:val="24"/>
              </w:rPr>
              <w:t>类标准。</w:t>
            </w:r>
          </w:p>
          <w:p>
            <w:pPr>
              <w:adjustRightInd w:val="0"/>
              <w:snapToGrid w:val="0"/>
              <w:spacing w:line="360" w:lineRule="auto"/>
              <w:ind w:firstLine="480" w:firstLineChars="200"/>
              <w:rPr>
                <w:sz w:val="24"/>
              </w:rPr>
            </w:pPr>
            <w:r>
              <w:rPr>
                <w:rFonts w:hint="eastAsia"/>
                <w:sz w:val="24"/>
              </w:rPr>
              <w:t>5、</w:t>
            </w:r>
            <w:r>
              <w:rPr>
                <w:sz w:val="24"/>
              </w:rPr>
              <w:t>监测期间，本项目</w:t>
            </w:r>
            <w:r>
              <w:rPr>
                <w:rFonts w:hint="eastAsia"/>
                <w:sz w:val="24"/>
              </w:rPr>
              <w:t>废热媒体油、废真空泵油委托常州市锦云工业废弃物处理有限公司处置，过滤残渣、蒸馏残渣产生少量暂存于危废仓库，废活性炭暂未产生，企业承诺</w:t>
            </w:r>
            <w:r>
              <w:rPr>
                <w:sz w:val="24"/>
              </w:rPr>
              <w:t>及时签订危险废物处置协议，在找到合适的固废处置单位前于厂区内规范贮存。</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tc>
      </w:tr>
    </w:tbl>
    <w:p>
      <w:pPr>
        <w:rPr>
          <w:sz w:val="24"/>
        </w:rPr>
        <w:sectPr>
          <w:pgSz w:w="11906" w:h="16838"/>
          <w:pgMar w:top="1276" w:right="1797" w:bottom="1276" w:left="1797" w:header="851" w:footer="992" w:gutter="0"/>
          <w:pgNumType w:fmt="numberInDash"/>
          <w:cols w:space="720" w:num="1"/>
          <w:docGrid w:type="lines" w:linePitch="312" w:charSpace="0"/>
        </w:sectPr>
      </w:pPr>
    </w:p>
    <w:p>
      <w:pPr>
        <w:widowControl/>
        <w:jc w:val="left"/>
        <w:rPr>
          <w:sz w:val="24"/>
        </w:rPr>
      </w:pPr>
      <w:r>
        <w:rPr>
          <w:sz w:val="24"/>
        </w:rPr>
        <w:t>续表八</w:t>
      </w:r>
    </w:p>
    <w:p>
      <w:pPr>
        <w:jc w:val="center"/>
        <w:rPr>
          <w:b/>
          <w:sz w:val="24"/>
        </w:rPr>
      </w:pPr>
      <w:r>
        <w:rPr>
          <w:b/>
          <w:sz w:val="24"/>
        </w:rPr>
        <w:t>废水监测结果（1）</w:t>
      </w:r>
    </w:p>
    <w:tbl>
      <w:tblPr>
        <w:tblStyle w:val="1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797"/>
        <w:gridCol w:w="1418"/>
        <w:gridCol w:w="2530"/>
        <w:gridCol w:w="2531"/>
        <w:gridCol w:w="2531"/>
        <w:gridCol w:w="105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restart"/>
            <w:vAlign w:val="center"/>
          </w:tcPr>
          <w:p>
            <w:pPr>
              <w:jc w:val="center"/>
              <w:rPr>
                <w:b/>
                <w:bCs/>
                <w:szCs w:val="21"/>
              </w:rPr>
            </w:pPr>
            <w:r>
              <w:rPr>
                <w:b/>
                <w:bCs/>
                <w:szCs w:val="21"/>
              </w:rPr>
              <w:t>监测点位及编号</w:t>
            </w:r>
          </w:p>
        </w:tc>
        <w:tc>
          <w:tcPr>
            <w:tcW w:w="1797" w:type="dxa"/>
            <w:vMerge w:val="restart"/>
            <w:vAlign w:val="center"/>
          </w:tcPr>
          <w:p>
            <w:pPr>
              <w:jc w:val="center"/>
              <w:rPr>
                <w:b/>
                <w:bCs/>
                <w:szCs w:val="21"/>
              </w:rPr>
            </w:pPr>
            <w:r>
              <w:rPr>
                <w:b/>
                <w:bCs/>
                <w:szCs w:val="21"/>
              </w:rPr>
              <w:t>监测项目</w:t>
            </w:r>
          </w:p>
        </w:tc>
        <w:tc>
          <w:tcPr>
            <w:tcW w:w="1418" w:type="dxa"/>
            <w:vMerge w:val="restart"/>
            <w:vAlign w:val="center"/>
          </w:tcPr>
          <w:p>
            <w:pPr>
              <w:jc w:val="center"/>
              <w:rPr>
                <w:b/>
                <w:bCs/>
                <w:szCs w:val="21"/>
              </w:rPr>
            </w:pPr>
            <w:r>
              <w:rPr>
                <w:b/>
                <w:bCs/>
                <w:szCs w:val="21"/>
              </w:rPr>
              <w:t>监测日期</w:t>
            </w:r>
          </w:p>
        </w:tc>
        <w:tc>
          <w:tcPr>
            <w:tcW w:w="7592" w:type="dxa"/>
            <w:gridSpan w:val="3"/>
            <w:vAlign w:val="center"/>
          </w:tcPr>
          <w:p>
            <w:pPr>
              <w:jc w:val="center"/>
              <w:rPr>
                <w:b/>
                <w:bCs/>
                <w:szCs w:val="21"/>
              </w:rPr>
            </w:pPr>
            <w:r>
              <w:rPr>
                <w:b/>
                <w:bCs/>
                <w:szCs w:val="21"/>
              </w:rPr>
              <w:t>监测结果（pH值无量纲，其余单位mg/L）</w:t>
            </w:r>
          </w:p>
        </w:tc>
        <w:tc>
          <w:tcPr>
            <w:tcW w:w="1055" w:type="dxa"/>
            <w:vMerge w:val="restart"/>
            <w:vAlign w:val="center"/>
          </w:tcPr>
          <w:p>
            <w:pPr>
              <w:jc w:val="center"/>
              <w:rPr>
                <w:b/>
                <w:bCs/>
                <w:szCs w:val="21"/>
              </w:rPr>
            </w:pPr>
            <w:r>
              <w:rPr>
                <w:b/>
                <w:bCs/>
                <w:szCs w:val="21"/>
              </w:rPr>
              <w:t>标准值</w:t>
            </w:r>
          </w:p>
        </w:tc>
        <w:tc>
          <w:tcPr>
            <w:tcW w:w="1275" w:type="dxa"/>
            <w:vMerge w:val="restart"/>
            <w:vAlign w:val="center"/>
          </w:tcPr>
          <w:p>
            <w:pPr>
              <w:jc w:val="center"/>
              <w:rPr>
                <w:b/>
                <w:bCs/>
                <w:szCs w:val="21"/>
              </w:rPr>
            </w:pPr>
            <w:r>
              <w:rPr>
                <w:b/>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Merge w:val="continue"/>
            <w:vAlign w:val="center"/>
          </w:tcPr>
          <w:p>
            <w:pPr>
              <w:jc w:val="center"/>
              <w:rPr>
                <w:szCs w:val="21"/>
              </w:rPr>
            </w:pPr>
          </w:p>
        </w:tc>
        <w:tc>
          <w:tcPr>
            <w:tcW w:w="1418" w:type="dxa"/>
            <w:vMerge w:val="continue"/>
            <w:vAlign w:val="center"/>
          </w:tcPr>
          <w:p>
            <w:pPr>
              <w:jc w:val="center"/>
              <w:rPr>
                <w:szCs w:val="21"/>
              </w:rPr>
            </w:pPr>
          </w:p>
        </w:tc>
        <w:tc>
          <w:tcPr>
            <w:tcW w:w="2530" w:type="dxa"/>
            <w:vAlign w:val="center"/>
          </w:tcPr>
          <w:p>
            <w:pPr>
              <w:jc w:val="center"/>
              <w:rPr>
                <w:b/>
                <w:bCs/>
                <w:szCs w:val="21"/>
              </w:rPr>
            </w:pPr>
            <w:r>
              <w:rPr>
                <w:b/>
                <w:bCs/>
                <w:szCs w:val="21"/>
              </w:rPr>
              <w:t>第一次</w:t>
            </w:r>
          </w:p>
        </w:tc>
        <w:tc>
          <w:tcPr>
            <w:tcW w:w="2531" w:type="dxa"/>
            <w:vAlign w:val="center"/>
          </w:tcPr>
          <w:p>
            <w:pPr>
              <w:jc w:val="center"/>
              <w:rPr>
                <w:b/>
                <w:bCs/>
                <w:szCs w:val="21"/>
              </w:rPr>
            </w:pPr>
            <w:r>
              <w:rPr>
                <w:b/>
                <w:bCs/>
                <w:szCs w:val="21"/>
              </w:rPr>
              <w:t>第二次</w:t>
            </w:r>
          </w:p>
        </w:tc>
        <w:tc>
          <w:tcPr>
            <w:tcW w:w="2531" w:type="dxa"/>
            <w:vAlign w:val="center"/>
          </w:tcPr>
          <w:p>
            <w:pPr>
              <w:jc w:val="center"/>
              <w:rPr>
                <w:b/>
                <w:bCs/>
                <w:szCs w:val="21"/>
              </w:rPr>
            </w:pPr>
            <w:r>
              <w:rPr>
                <w:b/>
                <w:bCs/>
                <w:szCs w:val="21"/>
              </w:rPr>
              <w:t>均值/范围</w:t>
            </w:r>
          </w:p>
        </w:tc>
        <w:tc>
          <w:tcPr>
            <w:tcW w:w="1055" w:type="dxa"/>
            <w:vMerge w:val="continue"/>
            <w:vAlign w:val="center"/>
          </w:tcPr>
          <w:p>
            <w:pPr>
              <w:jc w:val="center"/>
              <w:rPr>
                <w:szCs w:val="21"/>
              </w:rPr>
            </w:pPr>
          </w:p>
        </w:tc>
        <w:tc>
          <w:tcPr>
            <w:tcW w:w="127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restart"/>
            <w:vAlign w:val="center"/>
          </w:tcPr>
          <w:p>
            <w:pPr>
              <w:jc w:val="center"/>
              <w:rPr>
                <w:szCs w:val="21"/>
              </w:rPr>
            </w:pPr>
            <w:r>
              <w:rPr>
                <w:rFonts w:hint="eastAsia"/>
                <w:szCs w:val="21"/>
              </w:rPr>
              <w:t>雨</w:t>
            </w:r>
            <w:r>
              <w:rPr>
                <w:szCs w:val="21"/>
              </w:rPr>
              <w:t>水排口W1</w:t>
            </w:r>
          </w:p>
        </w:tc>
        <w:tc>
          <w:tcPr>
            <w:tcW w:w="1797" w:type="dxa"/>
            <w:vAlign w:val="center"/>
          </w:tcPr>
          <w:p>
            <w:pPr>
              <w:jc w:val="center"/>
              <w:rPr>
                <w:szCs w:val="21"/>
              </w:rPr>
            </w:pPr>
            <w:r>
              <w:rPr>
                <w:szCs w:val="21"/>
              </w:rPr>
              <w:t>pH值</w:t>
            </w:r>
          </w:p>
        </w:tc>
        <w:tc>
          <w:tcPr>
            <w:tcW w:w="1418" w:type="dxa"/>
            <w:vMerge w:val="restart"/>
            <w:vAlign w:val="center"/>
          </w:tcPr>
          <w:p>
            <w:pPr>
              <w:jc w:val="center"/>
              <w:rPr>
                <w:kern w:val="24"/>
                <w:szCs w:val="21"/>
              </w:rPr>
            </w:pPr>
            <w:r>
              <w:rPr>
                <w:kern w:val="24"/>
                <w:szCs w:val="21"/>
              </w:rPr>
              <w:t>2019年</w:t>
            </w:r>
          </w:p>
          <w:p>
            <w:pPr>
              <w:jc w:val="center"/>
              <w:rPr>
                <w:kern w:val="24"/>
                <w:szCs w:val="21"/>
              </w:rPr>
            </w:pPr>
            <w:r>
              <w:rPr>
                <w:rFonts w:hint="eastAsia"/>
                <w:kern w:val="24"/>
                <w:szCs w:val="21"/>
              </w:rPr>
              <w:t>3</w:t>
            </w:r>
            <w:r>
              <w:rPr>
                <w:kern w:val="24"/>
                <w:szCs w:val="21"/>
              </w:rPr>
              <w:t>月</w:t>
            </w:r>
            <w:r>
              <w:rPr>
                <w:rFonts w:hint="eastAsia"/>
                <w:kern w:val="24"/>
                <w:szCs w:val="21"/>
              </w:rPr>
              <w:t>20</w:t>
            </w:r>
            <w:r>
              <w:rPr>
                <w:kern w:val="24"/>
                <w:szCs w:val="21"/>
              </w:rPr>
              <w:t>日</w:t>
            </w:r>
          </w:p>
        </w:tc>
        <w:tc>
          <w:tcPr>
            <w:tcW w:w="2530" w:type="dxa"/>
            <w:vAlign w:val="center"/>
          </w:tcPr>
          <w:p>
            <w:pPr>
              <w:jc w:val="center"/>
            </w:pPr>
            <w:r>
              <w:rPr>
                <w:rFonts w:hint="eastAsia"/>
              </w:rPr>
              <w:t>7.33</w:t>
            </w:r>
          </w:p>
        </w:tc>
        <w:tc>
          <w:tcPr>
            <w:tcW w:w="2531" w:type="dxa"/>
            <w:vAlign w:val="center"/>
          </w:tcPr>
          <w:p>
            <w:pPr>
              <w:jc w:val="center"/>
            </w:pPr>
            <w:r>
              <w:rPr>
                <w:rFonts w:hint="eastAsia"/>
              </w:rPr>
              <w:t>7.34</w:t>
            </w:r>
          </w:p>
        </w:tc>
        <w:tc>
          <w:tcPr>
            <w:tcW w:w="2531" w:type="dxa"/>
            <w:vAlign w:val="center"/>
          </w:tcPr>
          <w:p>
            <w:pPr>
              <w:jc w:val="center"/>
              <w:rPr>
                <w:szCs w:val="21"/>
              </w:rPr>
            </w:pPr>
            <w:r>
              <w:rPr>
                <w:rFonts w:hint="eastAsia"/>
                <w:szCs w:val="21"/>
              </w:rPr>
              <w:t>7.33~7.34</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continue"/>
            <w:vAlign w:val="center"/>
          </w:tcPr>
          <w:p>
            <w:pPr>
              <w:jc w:val="center"/>
              <w:rPr>
                <w:szCs w:val="21"/>
              </w:rPr>
            </w:pPr>
          </w:p>
        </w:tc>
        <w:tc>
          <w:tcPr>
            <w:tcW w:w="1797" w:type="dxa"/>
            <w:vAlign w:val="center"/>
          </w:tcPr>
          <w:p>
            <w:pPr>
              <w:jc w:val="center"/>
              <w:rPr>
                <w:szCs w:val="21"/>
              </w:rPr>
            </w:pPr>
            <w:r>
              <w:t>化学需氧量</w:t>
            </w:r>
          </w:p>
        </w:tc>
        <w:tc>
          <w:tcPr>
            <w:tcW w:w="1418" w:type="dxa"/>
            <w:vMerge w:val="continue"/>
            <w:vAlign w:val="center"/>
          </w:tcPr>
          <w:p>
            <w:pPr>
              <w:jc w:val="center"/>
              <w:rPr>
                <w:kern w:val="24"/>
                <w:szCs w:val="21"/>
              </w:rPr>
            </w:pPr>
          </w:p>
        </w:tc>
        <w:tc>
          <w:tcPr>
            <w:tcW w:w="2530" w:type="dxa"/>
            <w:vAlign w:val="center"/>
          </w:tcPr>
          <w:p>
            <w:pPr>
              <w:jc w:val="center"/>
            </w:pPr>
            <w:r>
              <w:rPr>
                <w:rFonts w:hint="eastAsia"/>
              </w:rPr>
              <w:t>7</w:t>
            </w:r>
          </w:p>
        </w:tc>
        <w:tc>
          <w:tcPr>
            <w:tcW w:w="2531" w:type="dxa"/>
            <w:vAlign w:val="center"/>
          </w:tcPr>
          <w:p>
            <w:pPr>
              <w:jc w:val="center"/>
            </w:pPr>
            <w:r>
              <w:rPr>
                <w:rFonts w:hint="eastAsia"/>
              </w:rPr>
              <w:t>6</w:t>
            </w:r>
          </w:p>
        </w:tc>
        <w:tc>
          <w:tcPr>
            <w:tcW w:w="2531" w:type="dxa"/>
            <w:vAlign w:val="center"/>
          </w:tcPr>
          <w:p>
            <w:pPr>
              <w:jc w:val="center"/>
              <w:rPr>
                <w:szCs w:val="21"/>
              </w:rPr>
            </w:pPr>
            <w:r>
              <w:rPr>
                <w:rFonts w:hint="eastAsia"/>
                <w:szCs w:val="21"/>
              </w:rPr>
              <w:t>6</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continue"/>
            <w:vAlign w:val="center"/>
          </w:tcPr>
          <w:p>
            <w:pPr>
              <w:jc w:val="center"/>
              <w:rPr>
                <w:szCs w:val="21"/>
              </w:rPr>
            </w:pPr>
          </w:p>
        </w:tc>
        <w:tc>
          <w:tcPr>
            <w:tcW w:w="1797" w:type="dxa"/>
            <w:vAlign w:val="center"/>
          </w:tcPr>
          <w:p>
            <w:pPr>
              <w:jc w:val="center"/>
              <w:rPr>
                <w:szCs w:val="21"/>
              </w:rPr>
            </w:pPr>
            <w:r>
              <w:rPr>
                <w:rFonts w:hint="eastAsia"/>
              </w:rPr>
              <w:t>悬浮物</w:t>
            </w:r>
          </w:p>
        </w:tc>
        <w:tc>
          <w:tcPr>
            <w:tcW w:w="1418" w:type="dxa"/>
            <w:vMerge w:val="continue"/>
            <w:vAlign w:val="center"/>
          </w:tcPr>
          <w:p>
            <w:pPr>
              <w:jc w:val="center"/>
              <w:rPr>
                <w:kern w:val="24"/>
                <w:szCs w:val="21"/>
              </w:rPr>
            </w:pPr>
          </w:p>
        </w:tc>
        <w:tc>
          <w:tcPr>
            <w:tcW w:w="2530" w:type="dxa"/>
            <w:vAlign w:val="center"/>
          </w:tcPr>
          <w:p>
            <w:pPr>
              <w:jc w:val="center"/>
            </w:pPr>
            <w:r>
              <w:rPr>
                <w:rFonts w:hint="eastAsia"/>
              </w:rPr>
              <w:t>6</w:t>
            </w:r>
          </w:p>
        </w:tc>
        <w:tc>
          <w:tcPr>
            <w:tcW w:w="2531" w:type="dxa"/>
            <w:vAlign w:val="center"/>
          </w:tcPr>
          <w:p>
            <w:pPr>
              <w:jc w:val="center"/>
            </w:pPr>
            <w:r>
              <w:rPr>
                <w:rFonts w:hint="eastAsia"/>
              </w:rPr>
              <w:t>5</w:t>
            </w:r>
          </w:p>
        </w:tc>
        <w:tc>
          <w:tcPr>
            <w:tcW w:w="2531" w:type="dxa"/>
            <w:vAlign w:val="center"/>
          </w:tcPr>
          <w:p>
            <w:pPr>
              <w:jc w:val="center"/>
              <w:rPr>
                <w:szCs w:val="21"/>
              </w:rPr>
            </w:pPr>
            <w:r>
              <w:rPr>
                <w:rFonts w:hint="eastAsia"/>
                <w:szCs w:val="21"/>
              </w:rPr>
              <w:t>6</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continue"/>
            <w:vAlign w:val="center"/>
          </w:tcPr>
          <w:p>
            <w:pPr>
              <w:jc w:val="center"/>
              <w:rPr>
                <w:szCs w:val="21"/>
              </w:rPr>
            </w:pPr>
          </w:p>
        </w:tc>
        <w:tc>
          <w:tcPr>
            <w:tcW w:w="1797" w:type="dxa"/>
            <w:vAlign w:val="center"/>
          </w:tcPr>
          <w:p>
            <w:pPr>
              <w:jc w:val="center"/>
              <w:rPr>
                <w:szCs w:val="21"/>
              </w:rPr>
            </w:pPr>
            <w:r>
              <w:rPr>
                <w:szCs w:val="21"/>
              </w:rPr>
              <w:t>pH值</w:t>
            </w:r>
          </w:p>
        </w:tc>
        <w:tc>
          <w:tcPr>
            <w:tcW w:w="1418" w:type="dxa"/>
            <w:vMerge w:val="restart"/>
            <w:vAlign w:val="center"/>
          </w:tcPr>
          <w:p>
            <w:pPr>
              <w:jc w:val="center"/>
              <w:rPr>
                <w:kern w:val="24"/>
                <w:szCs w:val="21"/>
              </w:rPr>
            </w:pPr>
            <w:r>
              <w:rPr>
                <w:kern w:val="24"/>
                <w:szCs w:val="21"/>
              </w:rPr>
              <w:t>2019年</w:t>
            </w:r>
          </w:p>
          <w:p>
            <w:pPr>
              <w:jc w:val="center"/>
              <w:rPr>
                <w:kern w:val="24"/>
                <w:szCs w:val="21"/>
              </w:rPr>
            </w:pPr>
            <w:r>
              <w:rPr>
                <w:rFonts w:hint="eastAsia"/>
                <w:kern w:val="24"/>
                <w:szCs w:val="21"/>
              </w:rPr>
              <w:t>3</w:t>
            </w:r>
            <w:r>
              <w:rPr>
                <w:kern w:val="24"/>
                <w:szCs w:val="21"/>
              </w:rPr>
              <w:t>月</w:t>
            </w:r>
            <w:r>
              <w:rPr>
                <w:rFonts w:hint="eastAsia"/>
                <w:kern w:val="24"/>
                <w:szCs w:val="21"/>
              </w:rPr>
              <w:t>21</w:t>
            </w:r>
            <w:r>
              <w:rPr>
                <w:kern w:val="24"/>
                <w:szCs w:val="21"/>
              </w:rPr>
              <w:t>日</w:t>
            </w:r>
          </w:p>
        </w:tc>
        <w:tc>
          <w:tcPr>
            <w:tcW w:w="2530" w:type="dxa"/>
            <w:vAlign w:val="center"/>
          </w:tcPr>
          <w:p>
            <w:pPr>
              <w:jc w:val="center"/>
            </w:pPr>
            <w:r>
              <w:rPr>
                <w:rFonts w:hint="eastAsia"/>
              </w:rPr>
              <w:t>7.35</w:t>
            </w:r>
          </w:p>
        </w:tc>
        <w:tc>
          <w:tcPr>
            <w:tcW w:w="2531" w:type="dxa"/>
            <w:vAlign w:val="center"/>
          </w:tcPr>
          <w:p>
            <w:pPr>
              <w:jc w:val="center"/>
            </w:pPr>
            <w:r>
              <w:rPr>
                <w:rFonts w:hint="eastAsia"/>
              </w:rPr>
              <w:t>7.32</w:t>
            </w:r>
          </w:p>
        </w:tc>
        <w:tc>
          <w:tcPr>
            <w:tcW w:w="2531" w:type="dxa"/>
            <w:vAlign w:val="center"/>
          </w:tcPr>
          <w:p>
            <w:pPr>
              <w:jc w:val="center"/>
              <w:rPr>
                <w:szCs w:val="21"/>
              </w:rPr>
            </w:pPr>
            <w:r>
              <w:rPr>
                <w:rFonts w:hint="eastAsia"/>
                <w:szCs w:val="21"/>
              </w:rPr>
              <w:t>7.32~7.35</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continue"/>
            <w:vAlign w:val="center"/>
          </w:tcPr>
          <w:p>
            <w:pPr>
              <w:jc w:val="center"/>
              <w:rPr>
                <w:szCs w:val="21"/>
              </w:rPr>
            </w:pPr>
          </w:p>
        </w:tc>
        <w:tc>
          <w:tcPr>
            <w:tcW w:w="1797" w:type="dxa"/>
            <w:vAlign w:val="center"/>
          </w:tcPr>
          <w:p>
            <w:pPr>
              <w:jc w:val="center"/>
              <w:rPr>
                <w:szCs w:val="21"/>
              </w:rPr>
            </w:pPr>
            <w:r>
              <w:t>化学需氧量</w:t>
            </w:r>
          </w:p>
        </w:tc>
        <w:tc>
          <w:tcPr>
            <w:tcW w:w="1418" w:type="dxa"/>
            <w:vMerge w:val="continue"/>
            <w:vAlign w:val="center"/>
          </w:tcPr>
          <w:p>
            <w:pPr>
              <w:jc w:val="center"/>
              <w:rPr>
                <w:kern w:val="24"/>
                <w:szCs w:val="21"/>
              </w:rPr>
            </w:pPr>
          </w:p>
        </w:tc>
        <w:tc>
          <w:tcPr>
            <w:tcW w:w="2530" w:type="dxa"/>
            <w:vAlign w:val="center"/>
          </w:tcPr>
          <w:p>
            <w:pPr>
              <w:jc w:val="center"/>
            </w:pPr>
            <w:r>
              <w:rPr>
                <w:rFonts w:hint="eastAsia"/>
              </w:rPr>
              <w:t>6</w:t>
            </w:r>
          </w:p>
        </w:tc>
        <w:tc>
          <w:tcPr>
            <w:tcW w:w="2531" w:type="dxa"/>
            <w:vAlign w:val="center"/>
          </w:tcPr>
          <w:p>
            <w:pPr>
              <w:jc w:val="center"/>
            </w:pPr>
            <w:r>
              <w:rPr>
                <w:rFonts w:hint="eastAsia"/>
              </w:rPr>
              <w:t>8</w:t>
            </w:r>
          </w:p>
        </w:tc>
        <w:tc>
          <w:tcPr>
            <w:tcW w:w="2531" w:type="dxa"/>
            <w:vAlign w:val="center"/>
          </w:tcPr>
          <w:p>
            <w:pPr>
              <w:jc w:val="center"/>
              <w:rPr>
                <w:szCs w:val="21"/>
              </w:rPr>
            </w:pPr>
            <w:r>
              <w:rPr>
                <w:rFonts w:hint="eastAsia"/>
                <w:szCs w:val="21"/>
              </w:rPr>
              <w:t>7</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146" w:type="dxa"/>
            <w:vMerge w:val="continue"/>
            <w:vAlign w:val="center"/>
          </w:tcPr>
          <w:p>
            <w:pPr>
              <w:jc w:val="center"/>
              <w:rPr>
                <w:szCs w:val="21"/>
              </w:rPr>
            </w:pPr>
          </w:p>
        </w:tc>
        <w:tc>
          <w:tcPr>
            <w:tcW w:w="1797" w:type="dxa"/>
            <w:vAlign w:val="center"/>
          </w:tcPr>
          <w:p>
            <w:pPr>
              <w:jc w:val="center"/>
              <w:rPr>
                <w:szCs w:val="21"/>
              </w:rPr>
            </w:pPr>
            <w:r>
              <w:rPr>
                <w:rFonts w:hint="eastAsia"/>
              </w:rPr>
              <w:t>悬浮物</w:t>
            </w:r>
          </w:p>
        </w:tc>
        <w:tc>
          <w:tcPr>
            <w:tcW w:w="1418" w:type="dxa"/>
            <w:vMerge w:val="continue"/>
            <w:vAlign w:val="center"/>
          </w:tcPr>
          <w:p>
            <w:pPr>
              <w:jc w:val="center"/>
              <w:rPr>
                <w:kern w:val="24"/>
                <w:szCs w:val="21"/>
              </w:rPr>
            </w:pPr>
          </w:p>
        </w:tc>
        <w:tc>
          <w:tcPr>
            <w:tcW w:w="2530" w:type="dxa"/>
            <w:vAlign w:val="center"/>
          </w:tcPr>
          <w:p>
            <w:pPr>
              <w:jc w:val="center"/>
            </w:pPr>
            <w:r>
              <w:rPr>
                <w:rFonts w:hint="eastAsia"/>
              </w:rPr>
              <w:t>7</w:t>
            </w:r>
          </w:p>
        </w:tc>
        <w:tc>
          <w:tcPr>
            <w:tcW w:w="2531" w:type="dxa"/>
            <w:vAlign w:val="center"/>
          </w:tcPr>
          <w:p>
            <w:pPr>
              <w:jc w:val="center"/>
            </w:pPr>
            <w:r>
              <w:rPr>
                <w:rFonts w:hint="eastAsia"/>
              </w:rPr>
              <w:t>8</w:t>
            </w:r>
          </w:p>
        </w:tc>
        <w:tc>
          <w:tcPr>
            <w:tcW w:w="2531" w:type="dxa"/>
            <w:vAlign w:val="center"/>
          </w:tcPr>
          <w:p>
            <w:pPr>
              <w:jc w:val="center"/>
              <w:rPr>
                <w:szCs w:val="21"/>
              </w:rPr>
            </w:pPr>
            <w:r>
              <w:rPr>
                <w:rFonts w:hint="eastAsia"/>
                <w:szCs w:val="21"/>
              </w:rPr>
              <w:t>8</w:t>
            </w:r>
          </w:p>
        </w:tc>
        <w:tc>
          <w:tcPr>
            <w:tcW w:w="1055" w:type="dxa"/>
            <w:vAlign w:val="center"/>
          </w:tcPr>
          <w:p>
            <w:pPr>
              <w:jc w:val="center"/>
              <w:rPr>
                <w:szCs w:val="21"/>
              </w:rPr>
            </w:pPr>
            <w:r>
              <w:rPr>
                <w:rFonts w:hint="eastAsia"/>
                <w:szCs w:val="21"/>
              </w:rPr>
              <w:t>/</w:t>
            </w:r>
          </w:p>
        </w:tc>
        <w:tc>
          <w:tcPr>
            <w:tcW w:w="1275" w:type="dxa"/>
            <w:vAlign w:val="center"/>
          </w:tcPr>
          <w:p>
            <w:pPr>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2" w:hRule="atLeast"/>
        </w:trPr>
        <w:tc>
          <w:tcPr>
            <w:tcW w:w="1146" w:type="dxa"/>
            <w:vAlign w:val="center"/>
          </w:tcPr>
          <w:p>
            <w:pPr>
              <w:jc w:val="center"/>
              <w:rPr>
                <w:szCs w:val="21"/>
              </w:rPr>
            </w:pPr>
            <w:r>
              <w:rPr>
                <w:szCs w:val="21"/>
              </w:rPr>
              <w:t>备注</w:t>
            </w:r>
          </w:p>
        </w:tc>
        <w:tc>
          <w:tcPr>
            <w:tcW w:w="13137" w:type="dxa"/>
            <w:gridSpan w:val="7"/>
            <w:vAlign w:val="center"/>
          </w:tcPr>
          <w:p>
            <w:pPr>
              <w:jc w:val="center"/>
              <w:rPr>
                <w:szCs w:val="21"/>
              </w:rPr>
            </w:pPr>
            <w:r>
              <w:rPr>
                <w:szCs w:val="21"/>
              </w:rPr>
              <w:t>/</w:t>
            </w:r>
          </w:p>
        </w:tc>
      </w:tr>
    </w:tbl>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r>
        <w:rPr>
          <w:sz w:val="24"/>
        </w:rPr>
        <w:t>续表八</w:t>
      </w:r>
      <w:r>
        <w:rPr>
          <w:rFonts w:hint="eastAsia"/>
          <w:sz w:val="24"/>
        </w:rPr>
        <w:t xml:space="preserve">                                              </w:t>
      </w:r>
      <w:r>
        <w:rPr>
          <w:b/>
          <w:sz w:val="24"/>
        </w:rPr>
        <w:t>废水监测结果（</w:t>
      </w:r>
      <w:r>
        <w:rPr>
          <w:rFonts w:hint="eastAsia"/>
          <w:b/>
          <w:sz w:val="24"/>
        </w:rPr>
        <w:t>2</w:t>
      </w:r>
      <w:r>
        <w:rPr>
          <w:b/>
          <w:sz w:val="24"/>
        </w:rPr>
        <w:t>）</w:t>
      </w:r>
    </w:p>
    <w:tbl>
      <w:tblPr>
        <w:tblStyle w:val="1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797"/>
        <w:gridCol w:w="1418"/>
        <w:gridCol w:w="1518"/>
        <w:gridCol w:w="1518"/>
        <w:gridCol w:w="1519"/>
        <w:gridCol w:w="1518"/>
        <w:gridCol w:w="1519"/>
        <w:gridCol w:w="105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restart"/>
            <w:vAlign w:val="center"/>
          </w:tcPr>
          <w:p>
            <w:pPr>
              <w:jc w:val="center"/>
              <w:rPr>
                <w:b/>
                <w:bCs/>
                <w:szCs w:val="21"/>
              </w:rPr>
            </w:pPr>
            <w:r>
              <w:rPr>
                <w:b/>
                <w:bCs/>
                <w:szCs w:val="21"/>
              </w:rPr>
              <w:t>监测点位及编号</w:t>
            </w:r>
          </w:p>
        </w:tc>
        <w:tc>
          <w:tcPr>
            <w:tcW w:w="1797" w:type="dxa"/>
            <w:vMerge w:val="restart"/>
            <w:vAlign w:val="center"/>
          </w:tcPr>
          <w:p>
            <w:pPr>
              <w:jc w:val="center"/>
              <w:rPr>
                <w:b/>
                <w:bCs/>
                <w:szCs w:val="21"/>
              </w:rPr>
            </w:pPr>
            <w:r>
              <w:rPr>
                <w:b/>
                <w:bCs/>
                <w:szCs w:val="21"/>
              </w:rPr>
              <w:t>监测项目</w:t>
            </w:r>
          </w:p>
        </w:tc>
        <w:tc>
          <w:tcPr>
            <w:tcW w:w="1418" w:type="dxa"/>
            <w:vMerge w:val="restart"/>
            <w:vAlign w:val="center"/>
          </w:tcPr>
          <w:p>
            <w:pPr>
              <w:jc w:val="center"/>
              <w:rPr>
                <w:b/>
                <w:bCs/>
                <w:szCs w:val="21"/>
              </w:rPr>
            </w:pPr>
            <w:r>
              <w:rPr>
                <w:b/>
                <w:bCs/>
                <w:szCs w:val="21"/>
              </w:rPr>
              <w:t>监测日期</w:t>
            </w:r>
          </w:p>
        </w:tc>
        <w:tc>
          <w:tcPr>
            <w:tcW w:w="7592" w:type="dxa"/>
            <w:gridSpan w:val="5"/>
            <w:vAlign w:val="center"/>
          </w:tcPr>
          <w:p>
            <w:pPr>
              <w:jc w:val="center"/>
              <w:rPr>
                <w:b/>
                <w:bCs/>
                <w:szCs w:val="21"/>
              </w:rPr>
            </w:pPr>
            <w:r>
              <w:rPr>
                <w:b/>
                <w:bCs/>
                <w:szCs w:val="21"/>
              </w:rPr>
              <w:t>监测结果（pH值无量纲，其余单位mg/L）</w:t>
            </w:r>
          </w:p>
        </w:tc>
        <w:tc>
          <w:tcPr>
            <w:tcW w:w="1055" w:type="dxa"/>
            <w:vMerge w:val="restart"/>
            <w:vAlign w:val="center"/>
          </w:tcPr>
          <w:p>
            <w:pPr>
              <w:jc w:val="center"/>
              <w:rPr>
                <w:b/>
                <w:bCs/>
                <w:szCs w:val="21"/>
              </w:rPr>
            </w:pPr>
            <w:r>
              <w:rPr>
                <w:b/>
                <w:bCs/>
                <w:szCs w:val="21"/>
              </w:rPr>
              <w:t>标准值</w:t>
            </w:r>
          </w:p>
        </w:tc>
        <w:tc>
          <w:tcPr>
            <w:tcW w:w="1275" w:type="dxa"/>
            <w:vMerge w:val="restart"/>
            <w:vAlign w:val="center"/>
          </w:tcPr>
          <w:p>
            <w:pPr>
              <w:jc w:val="center"/>
              <w:rPr>
                <w:b/>
                <w:bCs/>
                <w:szCs w:val="21"/>
              </w:rPr>
            </w:pPr>
            <w:r>
              <w:rPr>
                <w:b/>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Merge w:val="continue"/>
            <w:vAlign w:val="center"/>
          </w:tcPr>
          <w:p>
            <w:pPr>
              <w:jc w:val="center"/>
              <w:rPr>
                <w:szCs w:val="21"/>
              </w:rPr>
            </w:pPr>
          </w:p>
        </w:tc>
        <w:tc>
          <w:tcPr>
            <w:tcW w:w="1418" w:type="dxa"/>
            <w:vMerge w:val="continue"/>
            <w:vAlign w:val="center"/>
          </w:tcPr>
          <w:p>
            <w:pPr>
              <w:jc w:val="center"/>
              <w:rPr>
                <w:szCs w:val="21"/>
              </w:rPr>
            </w:pPr>
          </w:p>
        </w:tc>
        <w:tc>
          <w:tcPr>
            <w:tcW w:w="1518" w:type="dxa"/>
            <w:vAlign w:val="center"/>
          </w:tcPr>
          <w:p>
            <w:pPr>
              <w:jc w:val="center"/>
              <w:rPr>
                <w:b/>
                <w:bCs/>
                <w:szCs w:val="21"/>
              </w:rPr>
            </w:pPr>
            <w:r>
              <w:rPr>
                <w:b/>
                <w:bCs/>
                <w:szCs w:val="21"/>
              </w:rPr>
              <w:t>第一次</w:t>
            </w:r>
          </w:p>
        </w:tc>
        <w:tc>
          <w:tcPr>
            <w:tcW w:w="1518" w:type="dxa"/>
            <w:vAlign w:val="center"/>
          </w:tcPr>
          <w:p>
            <w:pPr>
              <w:jc w:val="center"/>
              <w:rPr>
                <w:b/>
                <w:bCs/>
                <w:szCs w:val="21"/>
              </w:rPr>
            </w:pPr>
            <w:r>
              <w:rPr>
                <w:b/>
                <w:bCs/>
                <w:szCs w:val="21"/>
              </w:rPr>
              <w:t>第二次</w:t>
            </w:r>
          </w:p>
        </w:tc>
        <w:tc>
          <w:tcPr>
            <w:tcW w:w="1519" w:type="dxa"/>
            <w:vAlign w:val="center"/>
          </w:tcPr>
          <w:p>
            <w:pPr>
              <w:jc w:val="center"/>
              <w:rPr>
                <w:b/>
                <w:bCs/>
                <w:szCs w:val="21"/>
              </w:rPr>
            </w:pPr>
            <w:r>
              <w:rPr>
                <w:b/>
                <w:bCs/>
                <w:szCs w:val="21"/>
              </w:rPr>
              <w:t>第三次</w:t>
            </w:r>
          </w:p>
        </w:tc>
        <w:tc>
          <w:tcPr>
            <w:tcW w:w="1518" w:type="dxa"/>
            <w:vAlign w:val="center"/>
          </w:tcPr>
          <w:p>
            <w:pPr>
              <w:jc w:val="center"/>
              <w:rPr>
                <w:b/>
                <w:bCs/>
                <w:szCs w:val="21"/>
              </w:rPr>
            </w:pPr>
            <w:r>
              <w:rPr>
                <w:b/>
                <w:bCs/>
                <w:szCs w:val="21"/>
              </w:rPr>
              <w:t>第四次</w:t>
            </w:r>
          </w:p>
        </w:tc>
        <w:tc>
          <w:tcPr>
            <w:tcW w:w="1519" w:type="dxa"/>
            <w:vAlign w:val="center"/>
          </w:tcPr>
          <w:p>
            <w:pPr>
              <w:jc w:val="center"/>
              <w:rPr>
                <w:b/>
                <w:bCs/>
                <w:szCs w:val="21"/>
              </w:rPr>
            </w:pPr>
            <w:r>
              <w:rPr>
                <w:b/>
                <w:bCs/>
                <w:szCs w:val="21"/>
              </w:rPr>
              <w:t>均值/范围</w:t>
            </w:r>
          </w:p>
        </w:tc>
        <w:tc>
          <w:tcPr>
            <w:tcW w:w="1055" w:type="dxa"/>
            <w:vMerge w:val="continue"/>
            <w:vAlign w:val="center"/>
          </w:tcPr>
          <w:p>
            <w:pPr>
              <w:jc w:val="center"/>
              <w:rPr>
                <w:szCs w:val="21"/>
              </w:rPr>
            </w:pPr>
          </w:p>
        </w:tc>
        <w:tc>
          <w:tcPr>
            <w:tcW w:w="1275"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restart"/>
            <w:vAlign w:val="center"/>
          </w:tcPr>
          <w:p>
            <w:pPr>
              <w:jc w:val="center"/>
              <w:rPr>
                <w:szCs w:val="21"/>
              </w:rPr>
            </w:pPr>
            <w:r>
              <w:rPr>
                <w:szCs w:val="21"/>
              </w:rPr>
              <w:t>生活污水排口W1</w:t>
            </w:r>
          </w:p>
        </w:tc>
        <w:tc>
          <w:tcPr>
            <w:tcW w:w="1797" w:type="dxa"/>
            <w:vAlign w:val="center"/>
          </w:tcPr>
          <w:p>
            <w:pPr>
              <w:jc w:val="center"/>
            </w:pPr>
            <w:r>
              <w:rPr>
                <w:szCs w:val="21"/>
              </w:rPr>
              <w:t>pH值</w:t>
            </w:r>
          </w:p>
        </w:tc>
        <w:tc>
          <w:tcPr>
            <w:tcW w:w="1418" w:type="dxa"/>
            <w:vMerge w:val="restart"/>
            <w:vAlign w:val="center"/>
          </w:tcPr>
          <w:p>
            <w:pPr>
              <w:jc w:val="center"/>
              <w:rPr>
                <w:kern w:val="24"/>
                <w:szCs w:val="21"/>
              </w:rPr>
            </w:pPr>
            <w:r>
              <w:rPr>
                <w:kern w:val="24"/>
                <w:szCs w:val="21"/>
              </w:rPr>
              <w:t>2019年</w:t>
            </w:r>
          </w:p>
          <w:p>
            <w:pPr>
              <w:jc w:val="center"/>
              <w:rPr>
                <w:kern w:val="24"/>
                <w:szCs w:val="21"/>
              </w:rPr>
            </w:pPr>
            <w:r>
              <w:rPr>
                <w:rFonts w:hint="eastAsia"/>
                <w:kern w:val="24"/>
                <w:szCs w:val="21"/>
              </w:rPr>
              <w:t>3</w:t>
            </w:r>
            <w:r>
              <w:rPr>
                <w:kern w:val="24"/>
                <w:szCs w:val="21"/>
              </w:rPr>
              <w:t>月</w:t>
            </w:r>
            <w:r>
              <w:rPr>
                <w:rFonts w:hint="eastAsia"/>
                <w:kern w:val="24"/>
                <w:szCs w:val="21"/>
              </w:rPr>
              <w:t>20</w:t>
            </w:r>
            <w:r>
              <w:rPr>
                <w:kern w:val="24"/>
                <w:szCs w:val="21"/>
              </w:rPr>
              <w:t>日</w:t>
            </w:r>
          </w:p>
        </w:tc>
        <w:tc>
          <w:tcPr>
            <w:tcW w:w="1518" w:type="dxa"/>
            <w:vAlign w:val="center"/>
          </w:tcPr>
          <w:p>
            <w:pPr>
              <w:jc w:val="center"/>
            </w:pPr>
            <w:r>
              <w:rPr>
                <w:rFonts w:hint="eastAsia"/>
              </w:rPr>
              <w:t>7.86</w:t>
            </w:r>
          </w:p>
        </w:tc>
        <w:tc>
          <w:tcPr>
            <w:tcW w:w="1518" w:type="dxa"/>
            <w:vAlign w:val="center"/>
          </w:tcPr>
          <w:p>
            <w:pPr>
              <w:jc w:val="center"/>
            </w:pPr>
            <w:r>
              <w:rPr>
                <w:rFonts w:hint="eastAsia"/>
              </w:rPr>
              <w:t>7.88</w:t>
            </w:r>
          </w:p>
        </w:tc>
        <w:tc>
          <w:tcPr>
            <w:tcW w:w="1519" w:type="dxa"/>
            <w:vAlign w:val="center"/>
          </w:tcPr>
          <w:p>
            <w:pPr>
              <w:jc w:val="center"/>
            </w:pPr>
            <w:r>
              <w:rPr>
                <w:rFonts w:hint="eastAsia"/>
              </w:rPr>
              <w:t>7.83</w:t>
            </w:r>
          </w:p>
        </w:tc>
        <w:tc>
          <w:tcPr>
            <w:tcW w:w="1518" w:type="dxa"/>
            <w:vAlign w:val="center"/>
          </w:tcPr>
          <w:p>
            <w:pPr>
              <w:jc w:val="center"/>
            </w:pPr>
            <w:r>
              <w:rPr>
                <w:rFonts w:hint="eastAsia"/>
              </w:rPr>
              <w:t>7.85</w:t>
            </w:r>
          </w:p>
        </w:tc>
        <w:tc>
          <w:tcPr>
            <w:tcW w:w="1519" w:type="dxa"/>
            <w:vAlign w:val="center"/>
          </w:tcPr>
          <w:p>
            <w:pPr>
              <w:jc w:val="center"/>
              <w:rPr>
                <w:szCs w:val="21"/>
              </w:rPr>
            </w:pPr>
            <w:r>
              <w:rPr>
                <w:rFonts w:hint="eastAsia"/>
                <w:szCs w:val="21"/>
              </w:rPr>
              <w:t>7.83~7.88</w:t>
            </w:r>
          </w:p>
        </w:tc>
        <w:tc>
          <w:tcPr>
            <w:tcW w:w="1055" w:type="dxa"/>
            <w:vAlign w:val="center"/>
          </w:tcPr>
          <w:p>
            <w:pPr>
              <w:adjustRightInd w:val="0"/>
              <w:snapToGrid w:val="0"/>
              <w:spacing w:line="240" w:lineRule="exact"/>
              <w:jc w:val="center"/>
              <w:rPr>
                <w:szCs w:val="21"/>
              </w:rPr>
            </w:pPr>
            <w:r>
              <w:rPr>
                <w:rFonts w:hint="eastAsia"/>
                <w:szCs w:val="21"/>
              </w:rPr>
              <w:t>6.5~9.5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rPr>
                <w:rFonts w:hint="eastAsia"/>
              </w:rPr>
              <w:t>化学需氧量</w:t>
            </w:r>
          </w:p>
        </w:tc>
        <w:tc>
          <w:tcPr>
            <w:tcW w:w="1418" w:type="dxa"/>
            <w:vMerge w:val="continue"/>
            <w:vAlign w:val="center"/>
          </w:tcPr>
          <w:p>
            <w:pPr>
              <w:jc w:val="center"/>
              <w:rPr>
                <w:kern w:val="24"/>
                <w:szCs w:val="21"/>
              </w:rPr>
            </w:pPr>
          </w:p>
        </w:tc>
        <w:tc>
          <w:tcPr>
            <w:tcW w:w="1518" w:type="dxa"/>
            <w:vAlign w:val="center"/>
          </w:tcPr>
          <w:p>
            <w:pPr>
              <w:jc w:val="center"/>
            </w:pPr>
            <w:r>
              <w:rPr>
                <w:rFonts w:hint="eastAsia"/>
              </w:rPr>
              <w:t>17</w:t>
            </w:r>
          </w:p>
        </w:tc>
        <w:tc>
          <w:tcPr>
            <w:tcW w:w="1518" w:type="dxa"/>
            <w:vAlign w:val="center"/>
          </w:tcPr>
          <w:p>
            <w:pPr>
              <w:jc w:val="center"/>
            </w:pPr>
            <w:r>
              <w:rPr>
                <w:rFonts w:hint="eastAsia"/>
              </w:rPr>
              <w:t>16</w:t>
            </w:r>
          </w:p>
        </w:tc>
        <w:tc>
          <w:tcPr>
            <w:tcW w:w="1519" w:type="dxa"/>
            <w:vAlign w:val="center"/>
          </w:tcPr>
          <w:p>
            <w:pPr>
              <w:jc w:val="center"/>
            </w:pPr>
            <w:r>
              <w:rPr>
                <w:rFonts w:hint="eastAsia"/>
              </w:rPr>
              <w:t>14</w:t>
            </w:r>
          </w:p>
        </w:tc>
        <w:tc>
          <w:tcPr>
            <w:tcW w:w="1518" w:type="dxa"/>
            <w:vAlign w:val="center"/>
          </w:tcPr>
          <w:p>
            <w:pPr>
              <w:jc w:val="center"/>
            </w:pPr>
            <w:r>
              <w:rPr>
                <w:rFonts w:hint="eastAsia"/>
              </w:rPr>
              <w:t>17</w:t>
            </w:r>
          </w:p>
        </w:tc>
        <w:tc>
          <w:tcPr>
            <w:tcW w:w="1519" w:type="dxa"/>
            <w:vAlign w:val="center"/>
          </w:tcPr>
          <w:p>
            <w:pPr>
              <w:jc w:val="center"/>
              <w:rPr>
                <w:szCs w:val="21"/>
              </w:rPr>
            </w:pPr>
            <w:r>
              <w:rPr>
                <w:rFonts w:hint="eastAsia"/>
                <w:szCs w:val="21"/>
              </w:rPr>
              <w:t>16</w:t>
            </w:r>
          </w:p>
        </w:tc>
        <w:tc>
          <w:tcPr>
            <w:tcW w:w="1055" w:type="dxa"/>
            <w:vAlign w:val="center"/>
          </w:tcPr>
          <w:p>
            <w:pPr>
              <w:adjustRightInd w:val="0"/>
              <w:snapToGrid w:val="0"/>
              <w:spacing w:line="240" w:lineRule="exact"/>
              <w:jc w:val="center"/>
              <w:rPr>
                <w:szCs w:val="21"/>
              </w:rPr>
            </w:pPr>
            <w:r>
              <w:rPr>
                <w:szCs w:val="21"/>
              </w:rPr>
              <w:t>500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悬浮物</w:t>
            </w:r>
          </w:p>
        </w:tc>
        <w:tc>
          <w:tcPr>
            <w:tcW w:w="1418" w:type="dxa"/>
            <w:vMerge w:val="continue"/>
            <w:vAlign w:val="center"/>
          </w:tcPr>
          <w:p>
            <w:pPr>
              <w:jc w:val="center"/>
              <w:rPr>
                <w:kern w:val="24"/>
                <w:szCs w:val="21"/>
              </w:rPr>
            </w:pPr>
          </w:p>
        </w:tc>
        <w:tc>
          <w:tcPr>
            <w:tcW w:w="1518" w:type="dxa"/>
            <w:vAlign w:val="center"/>
          </w:tcPr>
          <w:p>
            <w:pPr>
              <w:jc w:val="center"/>
            </w:pPr>
            <w:r>
              <w:rPr>
                <w:rFonts w:hint="eastAsia"/>
              </w:rPr>
              <w:t>11</w:t>
            </w:r>
          </w:p>
        </w:tc>
        <w:tc>
          <w:tcPr>
            <w:tcW w:w="1518" w:type="dxa"/>
            <w:vAlign w:val="center"/>
          </w:tcPr>
          <w:p>
            <w:pPr>
              <w:jc w:val="center"/>
            </w:pPr>
            <w:r>
              <w:rPr>
                <w:rFonts w:hint="eastAsia"/>
              </w:rPr>
              <w:t>13</w:t>
            </w:r>
          </w:p>
        </w:tc>
        <w:tc>
          <w:tcPr>
            <w:tcW w:w="1519" w:type="dxa"/>
            <w:vAlign w:val="center"/>
          </w:tcPr>
          <w:p>
            <w:pPr>
              <w:jc w:val="center"/>
            </w:pPr>
            <w:r>
              <w:rPr>
                <w:rFonts w:hint="eastAsia"/>
              </w:rPr>
              <w:t>9</w:t>
            </w:r>
          </w:p>
        </w:tc>
        <w:tc>
          <w:tcPr>
            <w:tcW w:w="1518" w:type="dxa"/>
            <w:vAlign w:val="center"/>
          </w:tcPr>
          <w:p>
            <w:pPr>
              <w:jc w:val="center"/>
            </w:pPr>
            <w:r>
              <w:rPr>
                <w:rFonts w:hint="eastAsia"/>
              </w:rPr>
              <w:t>10</w:t>
            </w:r>
          </w:p>
        </w:tc>
        <w:tc>
          <w:tcPr>
            <w:tcW w:w="1519" w:type="dxa"/>
            <w:vAlign w:val="center"/>
          </w:tcPr>
          <w:p>
            <w:pPr>
              <w:jc w:val="center"/>
              <w:rPr>
                <w:szCs w:val="21"/>
              </w:rPr>
            </w:pPr>
            <w:r>
              <w:rPr>
                <w:rFonts w:hint="eastAsia"/>
                <w:szCs w:val="21"/>
              </w:rPr>
              <w:t>11</w:t>
            </w:r>
          </w:p>
        </w:tc>
        <w:tc>
          <w:tcPr>
            <w:tcW w:w="1055" w:type="dxa"/>
            <w:vAlign w:val="center"/>
          </w:tcPr>
          <w:p>
            <w:pPr>
              <w:adjustRightInd w:val="0"/>
              <w:snapToGrid w:val="0"/>
              <w:spacing w:line="240" w:lineRule="exact"/>
              <w:jc w:val="center"/>
              <w:rPr>
                <w:szCs w:val="21"/>
              </w:rPr>
            </w:pPr>
            <w:r>
              <w:rPr>
                <w:szCs w:val="21"/>
              </w:rPr>
              <w:t>400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氨氮</w:t>
            </w:r>
          </w:p>
        </w:tc>
        <w:tc>
          <w:tcPr>
            <w:tcW w:w="1418" w:type="dxa"/>
            <w:vMerge w:val="continue"/>
            <w:vAlign w:val="center"/>
          </w:tcPr>
          <w:p>
            <w:pPr>
              <w:jc w:val="center"/>
              <w:rPr>
                <w:kern w:val="24"/>
                <w:szCs w:val="21"/>
              </w:rPr>
            </w:pPr>
          </w:p>
        </w:tc>
        <w:tc>
          <w:tcPr>
            <w:tcW w:w="1518" w:type="dxa"/>
            <w:vAlign w:val="center"/>
          </w:tcPr>
          <w:p>
            <w:pPr>
              <w:jc w:val="center"/>
            </w:pPr>
            <w:r>
              <w:rPr>
                <w:rFonts w:hint="eastAsia"/>
              </w:rPr>
              <w:t>0.106</w:t>
            </w:r>
          </w:p>
        </w:tc>
        <w:tc>
          <w:tcPr>
            <w:tcW w:w="1518" w:type="dxa"/>
            <w:vAlign w:val="center"/>
          </w:tcPr>
          <w:p>
            <w:pPr>
              <w:jc w:val="center"/>
            </w:pPr>
            <w:r>
              <w:rPr>
                <w:rFonts w:hint="eastAsia"/>
              </w:rPr>
              <w:t>0.126</w:t>
            </w:r>
          </w:p>
        </w:tc>
        <w:tc>
          <w:tcPr>
            <w:tcW w:w="1519" w:type="dxa"/>
            <w:vAlign w:val="center"/>
          </w:tcPr>
          <w:p>
            <w:pPr>
              <w:jc w:val="center"/>
            </w:pPr>
            <w:r>
              <w:rPr>
                <w:rFonts w:hint="eastAsia"/>
              </w:rPr>
              <w:t>0.117</w:t>
            </w:r>
          </w:p>
        </w:tc>
        <w:tc>
          <w:tcPr>
            <w:tcW w:w="1518" w:type="dxa"/>
            <w:vAlign w:val="center"/>
          </w:tcPr>
          <w:p>
            <w:pPr>
              <w:jc w:val="center"/>
            </w:pPr>
            <w:r>
              <w:rPr>
                <w:rFonts w:hint="eastAsia"/>
              </w:rPr>
              <w:t>0.103</w:t>
            </w:r>
          </w:p>
        </w:tc>
        <w:tc>
          <w:tcPr>
            <w:tcW w:w="1519" w:type="dxa"/>
            <w:vAlign w:val="center"/>
          </w:tcPr>
          <w:p>
            <w:pPr>
              <w:jc w:val="center"/>
              <w:rPr>
                <w:szCs w:val="21"/>
              </w:rPr>
            </w:pPr>
            <w:r>
              <w:rPr>
                <w:rFonts w:hint="eastAsia"/>
                <w:szCs w:val="21"/>
              </w:rPr>
              <w:t>0.113</w:t>
            </w:r>
          </w:p>
        </w:tc>
        <w:tc>
          <w:tcPr>
            <w:tcW w:w="1055" w:type="dxa"/>
            <w:vAlign w:val="center"/>
          </w:tcPr>
          <w:p>
            <w:pPr>
              <w:adjustRightInd w:val="0"/>
              <w:snapToGrid w:val="0"/>
              <w:spacing w:line="240" w:lineRule="exact"/>
              <w:jc w:val="center"/>
              <w:rPr>
                <w:szCs w:val="21"/>
              </w:rPr>
            </w:pPr>
            <w:r>
              <w:rPr>
                <w:szCs w:val="21"/>
              </w:rPr>
              <w:t>45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总磷</w:t>
            </w:r>
          </w:p>
        </w:tc>
        <w:tc>
          <w:tcPr>
            <w:tcW w:w="1418" w:type="dxa"/>
            <w:vMerge w:val="continue"/>
            <w:vAlign w:val="center"/>
          </w:tcPr>
          <w:p>
            <w:pPr>
              <w:jc w:val="center"/>
              <w:rPr>
                <w:kern w:val="24"/>
                <w:szCs w:val="21"/>
              </w:rPr>
            </w:pPr>
          </w:p>
        </w:tc>
        <w:tc>
          <w:tcPr>
            <w:tcW w:w="1518" w:type="dxa"/>
            <w:vAlign w:val="center"/>
          </w:tcPr>
          <w:p>
            <w:pPr>
              <w:jc w:val="center"/>
            </w:pPr>
            <w:r>
              <w:rPr>
                <w:rFonts w:hint="eastAsia"/>
              </w:rPr>
              <w:t>0.03</w:t>
            </w:r>
          </w:p>
        </w:tc>
        <w:tc>
          <w:tcPr>
            <w:tcW w:w="1518" w:type="dxa"/>
            <w:vAlign w:val="center"/>
          </w:tcPr>
          <w:p>
            <w:pPr>
              <w:jc w:val="center"/>
            </w:pPr>
            <w:r>
              <w:rPr>
                <w:rFonts w:hint="eastAsia"/>
              </w:rPr>
              <w:t>0.03</w:t>
            </w:r>
          </w:p>
        </w:tc>
        <w:tc>
          <w:tcPr>
            <w:tcW w:w="1519" w:type="dxa"/>
            <w:vAlign w:val="center"/>
          </w:tcPr>
          <w:p>
            <w:pPr>
              <w:jc w:val="center"/>
            </w:pPr>
            <w:r>
              <w:rPr>
                <w:rFonts w:hint="eastAsia"/>
              </w:rPr>
              <w:t>0.04</w:t>
            </w:r>
          </w:p>
        </w:tc>
        <w:tc>
          <w:tcPr>
            <w:tcW w:w="1518" w:type="dxa"/>
            <w:vAlign w:val="center"/>
          </w:tcPr>
          <w:p>
            <w:pPr>
              <w:jc w:val="center"/>
            </w:pPr>
            <w:r>
              <w:rPr>
                <w:rFonts w:hint="eastAsia"/>
              </w:rPr>
              <w:t>0.03</w:t>
            </w:r>
          </w:p>
        </w:tc>
        <w:tc>
          <w:tcPr>
            <w:tcW w:w="1519" w:type="dxa"/>
            <w:vAlign w:val="center"/>
          </w:tcPr>
          <w:p>
            <w:pPr>
              <w:jc w:val="center"/>
              <w:rPr>
                <w:szCs w:val="21"/>
              </w:rPr>
            </w:pPr>
            <w:r>
              <w:rPr>
                <w:rFonts w:hint="eastAsia"/>
                <w:szCs w:val="21"/>
              </w:rPr>
              <w:t>0.03</w:t>
            </w:r>
          </w:p>
        </w:tc>
        <w:tc>
          <w:tcPr>
            <w:tcW w:w="1055" w:type="dxa"/>
            <w:vAlign w:val="center"/>
          </w:tcPr>
          <w:p>
            <w:pPr>
              <w:adjustRightInd w:val="0"/>
              <w:snapToGrid w:val="0"/>
              <w:spacing w:line="240" w:lineRule="exact"/>
              <w:jc w:val="center"/>
              <w:rPr>
                <w:szCs w:val="21"/>
              </w:rPr>
            </w:pPr>
            <w:r>
              <w:rPr>
                <w:szCs w:val="21"/>
              </w:rPr>
              <w:t>8</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石油类</w:t>
            </w:r>
          </w:p>
        </w:tc>
        <w:tc>
          <w:tcPr>
            <w:tcW w:w="1418" w:type="dxa"/>
            <w:vMerge w:val="continue"/>
            <w:vAlign w:val="center"/>
          </w:tcPr>
          <w:p>
            <w:pPr>
              <w:jc w:val="center"/>
            </w:pPr>
          </w:p>
        </w:tc>
        <w:tc>
          <w:tcPr>
            <w:tcW w:w="1518" w:type="dxa"/>
            <w:vAlign w:val="center"/>
          </w:tcPr>
          <w:p>
            <w:pPr>
              <w:jc w:val="center"/>
            </w:pPr>
            <w:r>
              <w:rPr>
                <w:rFonts w:hint="eastAsia"/>
              </w:rPr>
              <w:t>ND</w:t>
            </w:r>
          </w:p>
        </w:tc>
        <w:tc>
          <w:tcPr>
            <w:tcW w:w="1518" w:type="dxa"/>
            <w:vAlign w:val="center"/>
          </w:tcPr>
          <w:p>
            <w:pPr>
              <w:jc w:val="center"/>
            </w:pPr>
            <w:r>
              <w:rPr>
                <w:rFonts w:hint="eastAsia"/>
              </w:rPr>
              <w:t>ND</w:t>
            </w:r>
          </w:p>
        </w:tc>
        <w:tc>
          <w:tcPr>
            <w:tcW w:w="1519" w:type="dxa"/>
            <w:vAlign w:val="center"/>
          </w:tcPr>
          <w:p>
            <w:pPr>
              <w:jc w:val="center"/>
            </w:pPr>
            <w:r>
              <w:rPr>
                <w:rFonts w:hint="eastAsia"/>
              </w:rPr>
              <w:t>ND</w:t>
            </w:r>
          </w:p>
        </w:tc>
        <w:tc>
          <w:tcPr>
            <w:tcW w:w="1518" w:type="dxa"/>
            <w:vAlign w:val="center"/>
          </w:tcPr>
          <w:p>
            <w:pPr>
              <w:jc w:val="center"/>
            </w:pPr>
            <w:r>
              <w:rPr>
                <w:rFonts w:hint="eastAsia"/>
              </w:rPr>
              <w:t>ND</w:t>
            </w:r>
          </w:p>
        </w:tc>
        <w:tc>
          <w:tcPr>
            <w:tcW w:w="1519" w:type="dxa"/>
            <w:vAlign w:val="center"/>
          </w:tcPr>
          <w:p>
            <w:pPr>
              <w:jc w:val="center"/>
            </w:pPr>
            <w:r>
              <w:rPr>
                <w:rFonts w:hint="eastAsia"/>
              </w:rPr>
              <w:t>ND</w:t>
            </w:r>
          </w:p>
        </w:tc>
        <w:tc>
          <w:tcPr>
            <w:tcW w:w="1055" w:type="dxa"/>
            <w:vAlign w:val="center"/>
          </w:tcPr>
          <w:p>
            <w:pPr>
              <w:adjustRightInd w:val="0"/>
              <w:snapToGrid w:val="0"/>
              <w:spacing w:line="240" w:lineRule="exact"/>
              <w:jc w:val="center"/>
              <w:rPr>
                <w:szCs w:val="21"/>
              </w:rPr>
            </w:pPr>
            <w:r>
              <w:rPr>
                <w:rFonts w:hint="eastAsia"/>
                <w:szCs w:val="21"/>
              </w:rPr>
              <w:t>15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动植物油类</w:t>
            </w:r>
          </w:p>
        </w:tc>
        <w:tc>
          <w:tcPr>
            <w:tcW w:w="1418" w:type="dxa"/>
            <w:vMerge w:val="continue"/>
            <w:vAlign w:val="center"/>
          </w:tcPr>
          <w:p>
            <w:pPr>
              <w:jc w:val="center"/>
            </w:pPr>
          </w:p>
        </w:tc>
        <w:tc>
          <w:tcPr>
            <w:tcW w:w="1518" w:type="dxa"/>
            <w:vAlign w:val="center"/>
          </w:tcPr>
          <w:p>
            <w:pPr>
              <w:jc w:val="center"/>
            </w:pPr>
            <w:r>
              <w:rPr>
                <w:rFonts w:hint="eastAsia"/>
              </w:rPr>
              <w:t>0.57</w:t>
            </w:r>
          </w:p>
        </w:tc>
        <w:tc>
          <w:tcPr>
            <w:tcW w:w="1518" w:type="dxa"/>
            <w:vAlign w:val="center"/>
          </w:tcPr>
          <w:p>
            <w:pPr>
              <w:jc w:val="center"/>
            </w:pPr>
            <w:r>
              <w:rPr>
                <w:rFonts w:hint="eastAsia"/>
              </w:rPr>
              <w:t>0.70</w:t>
            </w:r>
          </w:p>
        </w:tc>
        <w:tc>
          <w:tcPr>
            <w:tcW w:w="1519" w:type="dxa"/>
            <w:vAlign w:val="center"/>
          </w:tcPr>
          <w:p>
            <w:pPr>
              <w:jc w:val="center"/>
            </w:pPr>
            <w:r>
              <w:rPr>
                <w:rFonts w:hint="eastAsia"/>
              </w:rPr>
              <w:t>0.48</w:t>
            </w:r>
          </w:p>
        </w:tc>
        <w:tc>
          <w:tcPr>
            <w:tcW w:w="1518" w:type="dxa"/>
            <w:vAlign w:val="center"/>
          </w:tcPr>
          <w:p>
            <w:pPr>
              <w:jc w:val="center"/>
            </w:pPr>
            <w:r>
              <w:rPr>
                <w:rFonts w:hint="eastAsia"/>
              </w:rPr>
              <w:t>0.76</w:t>
            </w:r>
          </w:p>
        </w:tc>
        <w:tc>
          <w:tcPr>
            <w:tcW w:w="1519" w:type="dxa"/>
            <w:vAlign w:val="center"/>
          </w:tcPr>
          <w:p>
            <w:pPr>
              <w:jc w:val="center"/>
            </w:pPr>
            <w:r>
              <w:rPr>
                <w:rFonts w:hint="eastAsia"/>
              </w:rPr>
              <w:t>0.63</w:t>
            </w:r>
          </w:p>
        </w:tc>
        <w:tc>
          <w:tcPr>
            <w:tcW w:w="1055" w:type="dxa"/>
            <w:vAlign w:val="center"/>
          </w:tcPr>
          <w:p>
            <w:pPr>
              <w:adjustRightInd w:val="0"/>
              <w:snapToGrid w:val="0"/>
              <w:spacing w:line="240" w:lineRule="exact"/>
              <w:jc w:val="center"/>
              <w:rPr>
                <w:szCs w:val="21"/>
              </w:rPr>
            </w:pPr>
            <w:r>
              <w:rPr>
                <w:rFonts w:hint="eastAsia"/>
                <w:szCs w:val="21"/>
              </w:rPr>
              <w:t>100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pH值</w:t>
            </w:r>
          </w:p>
        </w:tc>
        <w:tc>
          <w:tcPr>
            <w:tcW w:w="1418" w:type="dxa"/>
            <w:vMerge w:val="restart"/>
            <w:vAlign w:val="center"/>
          </w:tcPr>
          <w:p>
            <w:pPr>
              <w:jc w:val="center"/>
            </w:pPr>
            <w:r>
              <w:t>2019年</w:t>
            </w:r>
          </w:p>
          <w:p>
            <w:pPr>
              <w:jc w:val="center"/>
            </w:pPr>
            <w:r>
              <w:rPr>
                <w:rFonts w:hint="eastAsia"/>
              </w:rPr>
              <w:t>3</w:t>
            </w:r>
            <w:r>
              <w:t>月2</w:t>
            </w:r>
            <w:r>
              <w:rPr>
                <w:rFonts w:hint="eastAsia"/>
              </w:rPr>
              <w:t>1</w:t>
            </w:r>
            <w:r>
              <w:t>日</w:t>
            </w:r>
          </w:p>
        </w:tc>
        <w:tc>
          <w:tcPr>
            <w:tcW w:w="1518" w:type="dxa"/>
            <w:vAlign w:val="center"/>
          </w:tcPr>
          <w:p>
            <w:pPr>
              <w:jc w:val="center"/>
            </w:pPr>
            <w:r>
              <w:rPr>
                <w:rFonts w:hint="eastAsia"/>
              </w:rPr>
              <w:t>7.84</w:t>
            </w:r>
          </w:p>
        </w:tc>
        <w:tc>
          <w:tcPr>
            <w:tcW w:w="1518" w:type="dxa"/>
            <w:vAlign w:val="center"/>
          </w:tcPr>
          <w:p>
            <w:pPr>
              <w:jc w:val="center"/>
            </w:pPr>
            <w:r>
              <w:rPr>
                <w:rFonts w:hint="eastAsia"/>
              </w:rPr>
              <w:t>7.85</w:t>
            </w:r>
          </w:p>
        </w:tc>
        <w:tc>
          <w:tcPr>
            <w:tcW w:w="1519" w:type="dxa"/>
            <w:vAlign w:val="center"/>
          </w:tcPr>
          <w:p>
            <w:pPr>
              <w:jc w:val="center"/>
            </w:pPr>
            <w:r>
              <w:rPr>
                <w:rFonts w:hint="eastAsia"/>
              </w:rPr>
              <w:t>7.87</w:t>
            </w:r>
          </w:p>
        </w:tc>
        <w:tc>
          <w:tcPr>
            <w:tcW w:w="1518" w:type="dxa"/>
            <w:vAlign w:val="center"/>
          </w:tcPr>
          <w:p>
            <w:pPr>
              <w:jc w:val="center"/>
            </w:pPr>
            <w:r>
              <w:rPr>
                <w:rFonts w:hint="eastAsia"/>
              </w:rPr>
              <w:t>7.82</w:t>
            </w:r>
          </w:p>
        </w:tc>
        <w:tc>
          <w:tcPr>
            <w:tcW w:w="1519" w:type="dxa"/>
            <w:vAlign w:val="center"/>
          </w:tcPr>
          <w:p>
            <w:pPr>
              <w:jc w:val="center"/>
            </w:pPr>
            <w:r>
              <w:rPr>
                <w:rFonts w:hint="eastAsia"/>
              </w:rPr>
              <w:t>7.82~7.87</w:t>
            </w:r>
          </w:p>
        </w:tc>
        <w:tc>
          <w:tcPr>
            <w:tcW w:w="1055" w:type="dxa"/>
            <w:vAlign w:val="center"/>
          </w:tcPr>
          <w:p>
            <w:pPr>
              <w:adjustRightInd w:val="0"/>
              <w:snapToGrid w:val="0"/>
              <w:spacing w:line="240" w:lineRule="exact"/>
              <w:jc w:val="center"/>
              <w:rPr>
                <w:szCs w:val="21"/>
              </w:rPr>
            </w:pPr>
            <w:r>
              <w:rPr>
                <w:rFonts w:hint="eastAsia"/>
                <w:szCs w:val="21"/>
              </w:rPr>
              <w:t>6.5~9.5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rPr>
                <w:rFonts w:hint="eastAsia"/>
              </w:rPr>
              <w:t>化学需氧量</w:t>
            </w:r>
          </w:p>
        </w:tc>
        <w:tc>
          <w:tcPr>
            <w:tcW w:w="1418" w:type="dxa"/>
            <w:vMerge w:val="continue"/>
            <w:vAlign w:val="center"/>
          </w:tcPr>
          <w:p>
            <w:pPr>
              <w:jc w:val="center"/>
            </w:pPr>
          </w:p>
        </w:tc>
        <w:tc>
          <w:tcPr>
            <w:tcW w:w="1518" w:type="dxa"/>
            <w:vAlign w:val="center"/>
          </w:tcPr>
          <w:p>
            <w:pPr>
              <w:jc w:val="center"/>
            </w:pPr>
            <w:r>
              <w:rPr>
                <w:rFonts w:hint="eastAsia"/>
              </w:rPr>
              <w:t>17</w:t>
            </w:r>
          </w:p>
        </w:tc>
        <w:tc>
          <w:tcPr>
            <w:tcW w:w="1518" w:type="dxa"/>
            <w:vAlign w:val="center"/>
          </w:tcPr>
          <w:p>
            <w:pPr>
              <w:jc w:val="center"/>
            </w:pPr>
            <w:r>
              <w:rPr>
                <w:rFonts w:hint="eastAsia"/>
              </w:rPr>
              <w:t>18</w:t>
            </w:r>
          </w:p>
        </w:tc>
        <w:tc>
          <w:tcPr>
            <w:tcW w:w="1519" w:type="dxa"/>
            <w:vAlign w:val="center"/>
          </w:tcPr>
          <w:p>
            <w:pPr>
              <w:jc w:val="center"/>
            </w:pPr>
            <w:r>
              <w:rPr>
                <w:rFonts w:hint="eastAsia"/>
              </w:rPr>
              <w:t>19</w:t>
            </w:r>
          </w:p>
        </w:tc>
        <w:tc>
          <w:tcPr>
            <w:tcW w:w="1518" w:type="dxa"/>
            <w:vAlign w:val="center"/>
          </w:tcPr>
          <w:p>
            <w:pPr>
              <w:jc w:val="center"/>
            </w:pPr>
            <w:r>
              <w:rPr>
                <w:rFonts w:hint="eastAsia"/>
              </w:rPr>
              <w:t>16</w:t>
            </w:r>
          </w:p>
        </w:tc>
        <w:tc>
          <w:tcPr>
            <w:tcW w:w="1519" w:type="dxa"/>
            <w:vAlign w:val="center"/>
          </w:tcPr>
          <w:p>
            <w:pPr>
              <w:jc w:val="center"/>
            </w:pPr>
            <w:r>
              <w:rPr>
                <w:rFonts w:hint="eastAsia"/>
              </w:rPr>
              <w:t>18</w:t>
            </w:r>
          </w:p>
        </w:tc>
        <w:tc>
          <w:tcPr>
            <w:tcW w:w="1055" w:type="dxa"/>
            <w:vAlign w:val="center"/>
          </w:tcPr>
          <w:p>
            <w:pPr>
              <w:adjustRightInd w:val="0"/>
              <w:snapToGrid w:val="0"/>
              <w:spacing w:line="240" w:lineRule="exact"/>
              <w:jc w:val="center"/>
              <w:rPr>
                <w:szCs w:val="21"/>
              </w:rPr>
            </w:pPr>
            <w:r>
              <w:rPr>
                <w:szCs w:val="21"/>
              </w:rPr>
              <w:t>500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悬浮物</w:t>
            </w:r>
          </w:p>
        </w:tc>
        <w:tc>
          <w:tcPr>
            <w:tcW w:w="1418" w:type="dxa"/>
            <w:vMerge w:val="continue"/>
            <w:vAlign w:val="center"/>
          </w:tcPr>
          <w:p>
            <w:pPr>
              <w:jc w:val="center"/>
            </w:pPr>
          </w:p>
        </w:tc>
        <w:tc>
          <w:tcPr>
            <w:tcW w:w="1518" w:type="dxa"/>
            <w:vAlign w:val="center"/>
          </w:tcPr>
          <w:p>
            <w:pPr>
              <w:jc w:val="center"/>
            </w:pPr>
            <w:r>
              <w:rPr>
                <w:rFonts w:hint="eastAsia"/>
              </w:rPr>
              <w:t>14</w:t>
            </w:r>
          </w:p>
        </w:tc>
        <w:tc>
          <w:tcPr>
            <w:tcW w:w="1518" w:type="dxa"/>
            <w:vAlign w:val="center"/>
          </w:tcPr>
          <w:p>
            <w:pPr>
              <w:jc w:val="center"/>
            </w:pPr>
            <w:r>
              <w:rPr>
                <w:rFonts w:hint="eastAsia"/>
              </w:rPr>
              <w:t>11</w:t>
            </w:r>
          </w:p>
        </w:tc>
        <w:tc>
          <w:tcPr>
            <w:tcW w:w="1519" w:type="dxa"/>
            <w:vAlign w:val="center"/>
          </w:tcPr>
          <w:p>
            <w:pPr>
              <w:jc w:val="center"/>
            </w:pPr>
            <w:r>
              <w:rPr>
                <w:rFonts w:hint="eastAsia"/>
              </w:rPr>
              <w:t>9</w:t>
            </w:r>
          </w:p>
        </w:tc>
        <w:tc>
          <w:tcPr>
            <w:tcW w:w="1518" w:type="dxa"/>
            <w:vAlign w:val="center"/>
          </w:tcPr>
          <w:p>
            <w:pPr>
              <w:jc w:val="center"/>
            </w:pPr>
            <w:r>
              <w:rPr>
                <w:rFonts w:hint="eastAsia"/>
              </w:rPr>
              <w:t>13</w:t>
            </w:r>
          </w:p>
        </w:tc>
        <w:tc>
          <w:tcPr>
            <w:tcW w:w="1519" w:type="dxa"/>
            <w:vAlign w:val="center"/>
          </w:tcPr>
          <w:p>
            <w:pPr>
              <w:jc w:val="center"/>
            </w:pPr>
            <w:r>
              <w:rPr>
                <w:rFonts w:hint="eastAsia"/>
              </w:rPr>
              <w:t>12</w:t>
            </w:r>
          </w:p>
        </w:tc>
        <w:tc>
          <w:tcPr>
            <w:tcW w:w="1055" w:type="dxa"/>
            <w:vAlign w:val="center"/>
          </w:tcPr>
          <w:p>
            <w:pPr>
              <w:adjustRightInd w:val="0"/>
              <w:snapToGrid w:val="0"/>
              <w:spacing w:line="240" w:lineRule="exact"/>
              <w:jc w:val="center"/>
              <w:rPr>
                <w:szCs w:val="21"/>
              </w:rPr>
            </w:pPr>
            <w:r>
              <w:rPr>
                <w:szCs w:val="21"/>
              </w:rPr>
              <w:t>400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1146" w:type="dxa"/>
            <w:vMerge w:val="continue"/>
            <w:vAlign w:val="center"/>
          </w:tcPr>
          <w:p>
            <w:pPr>
              <w:jc w:val="center"/>
              <w:rPr>
                <w:szCs w:val="21"/>
              </w:rPr>
            </w:pPr>
          </w:p>
        </w:tc>
        <w:tc>
          <w:tcPr>
            <w:tcW w:w="1797" w:type="dxa"/>
            <w:vAlign w:val="center"/>
          </w:tcPr>
          <w:p>
            <w:pPr>
              <w:jc w:val="center"/>
            </w:pPr>
            <w:r>
              <w:t>氨氮</w:t>
            </w:r>
          </w:p>
        </w:tc>
        <w:tc>
          <w:tcPr>
            <w:tcW w:w="1418" w:type="dxa"/>
            <w:vMerge w:val="continue"/>
            <w:vAlign w:val="center"/>
          </w:tcPr>
          <w:p>
            <w:pPr>
              <w:jc w:val="center"/>
            </w:pPr>
          </w:p>
        </w:tc>
        <w:tc>
          <w:tcPr>
            <w:tcW w:w="1518" w:type="dxa"/>
            <w:vAlign w:val="center"/>
          </w:tcPr>
          <w:p>
            <w:pPr>
              <w:jc w:val="center"/>
            </w:pPr>
            <w:r>
              <w:rPr>
                <w:rFonts w:hint="eastAsia"/>
              </w:rPr>
              <w:t>0.114</w:t>
            </w:r>
          </w:p>
        </w:tc>
        <w:tc>
          <w:tcPr>
            <w:tcW w:w="1518" w:type="dxa"/>
            <w:vAlign w:val="center"/>
          </w:tcPr>
          <w:p>
            <w:pPr>
              <w:jc w:val="center"/>
            </w:pPr>
            <w:r>
              <w:rPr>
                <w:rFonts w:hint="eastAsia"/>
              </w:rPr>
              <w:t>0.123</w:t>
            </w:r>
          </w:p>
        </w:tc>
        <w:tc>
          <w:tcPr>
            <w:tcW w:w="1519" w:type="dxa"/>
            <w:vAlign w:val="center"/>
          </w:tcPr>
          <w:p>
            <w:pPr>
              <w:jc w:val="center"/>
            </w:pPr>
            <w:r>
              <w:rPr>
                <w:rFonts w:hint="eastAsia"/>
              </w:rPr>
              <w:t>0.109</w:t>
            </w:r>
          </w:p>
        </w:tc>
        <w:tc>
          <w:tcPr>
            <w:tcW w:w="1518" w:type="dxa"/>
            <w:vAlign w:val="center"/>
          </w:tcPr>
          <w:p>
            <w:pPr>
              <w:jc w:val="center"/>
            </w:pPr>
            <w:r>
              <w:rPr>
                <w:rFonts w:hint="eastAsia"/>
              </w:rPr>
              <w:t>0.106</w:t>
            </w:r>
          </w:p>
        </w:tc>
        <w:tc>
          <w:tcPr>
            <w:tcW w:w="1519" w:type="dxa"/>
            <w:vAlign w:val="center"/>
          </w:tcPr>
          <w:p>
            <w:pPr>
              <w:jc w:val="center"/>
            </w:pPr>
            <w:r>
              <w:rPr>
                <w:rFonts w:hint="eastAsia"/>
              </w:rPr>
              <w:t>0.113</w:t>
            </w:r>
          </w:p>
        </w:tc>
        <w:tc>
          <w:tcPr>
            <w:tcW w:w="1055" w:type="dxa"/>
            <w:vAlign w:val="center"/>
          </w:tcPr>
          <w:p>
            <w:pPr>
              <w:adjustRightInd w:val="0"/>
              <w:snapToGrid w:val="0"/>
              <w:spacing w:line="240" w:lineRule="exact"/>
              <w:jc w:val="center"/>
              <w:rPr>
                <w:szCs w:val="21"/>
              </w:rPr>
            </w:pPr>
            <w:r>
              <w:rPr>
                <w:szCs w:val="21"/>
              </w:rPr>
              <w:t>45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总磷</w:t>
            </w:r>
          </w:p>
        </w:tc>
        <w:tc>
          <w:tcPr>
            <w:tcW w:w="1418" w:type="dxa"/>
            <w:vMerge w:val="continue"/>
            <w:vAlign w:val="center"/>
          </w:tcPr>
          <w:p>
            <w:pPr>
              <w:jc w:val="center"/>
            </w:pPr>
          </w:p>
        </w:tc>
        <w:tc>
          <w:tcPr>
            <w:tcW w:w="1518" w:type="dxa"/>
            <w:vAlign w:val="center"/>
          </w:tcPr>
          <w:p>
            <w:pPr>
              <w:jc w:val="center"/>
            </w:pPr>
            <w:r>
              <w:rPr>
                <w:rFonts w:hint="eastAsia"/>
              </w:rPr>
              <w:t>0.03</w:t>
            </w:r>
          </w:p>
        </w:tc>
        <w:tc>
          <w:tcPr>
            <w:tcW w:w="1518" w:type="dxa"/>
            <w:vAlign w:val="center"/>
          </w:tcPr>
          <w:p>
            <w:pPr>
              <w:jc w:val="center"/>
            </w:pPr>
            <w:r>
              <w:rPr>
                <w:rFonts w:hint="eastAsia"/>
              </w:rPr>
              <w:t>0.05</w:t>
            </w:r>
          </w:p>
        </w:tc>
        <w:tc>
          <w:tcPr>
            <w:tcW w:w="1519" w:type="dxa"/>
            <w:vAlign w:val="center"/>
          </w:tcPr>
          <w:p>
            <w:pPr>
              <w:jc w:val="center"/>
            </w:pPr>
            <w:r>
              <w:rPr>
                <w:rFonts w:hint="eastAsia"/>
              </w:rPr>
              <w:t>0.04</w:t>
            </w:r>
          </w:p>
        </w:tc>
        <w:tc>
          <w:tcPr>
            <w:tcW w:w="1518" w:type="dxa"/>
            <w:vAlign w:val="center"/>
          </w:tcPr>
          <w:p>
            <w:pPr>
              <w:jc w:val="center"/>
            </w:pPr>
            <w:r>
              <w:rPr>
                <w:rFonts w:hint="eastAsia"/>
              </w:rPr>
              <w:t>0.03</w:t>
            </w:r>
          </w:p>
        </w:tc>
        <w:tc>
          <w:tcPr>
            <w:tcW w:w="1519" w:type="dxa"/>
            <w:vAlign w:val="center"/>
          </w:tcPr>
          <w:p>
            <w:pPr>
              <w:jc w:val="center"/>
            </w:pPr>
            <w:r>
              <w:rPr>
                <w:rFonts w:hint="eastAsia"/>
              </w:rPr>
              <w:t>0.04</w:t>
            </w:r>
          </w:p>
        </w:tc>
        <w:tc>
          <w:tcPr>
            <w:tcW w:w="1055" w:type="dxa"/>
            <w:vAlign w:val="center"/>
          </w:tcPr>
          <w:p>
            <w:pPr>
              <w:adjustRightInd w:val="0"/>
              <w:snapToGrid w:val="0"/>
              <w:spacing w:line="240" w:lineRule="exact"/>
              <w:jc w:val="center"/>
              <w:rPr>
                <w:szCs w:val="21"/>
              </w:rPr>
            </w:pPr>
            <w:r>
              <w:rPr>
                <w:szCs w:val="21"/>
              </w:rPr>
              <w:t>8</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石油类</w:t>
            </w:r>
          </w:p>
        </w:tc>
        <w:tc>
          <w:tcPr>
            <w:tcW w:w="1418" w:type="dxa"/>
            <w:vMerge w:val="continue"/>
            <w:vAlign w:val="center"/>
          </w:tcPr>
          <w:p>
            <w:pPr>
              <w:jc w:val="center"/>
            </w:pPr>
          </w:p>
        </w:tc>
        <w:tc>
          <w:tcPr>
            <w:tcW w:w="1518" w:type="dxa"/>
            <w:vAlign w:val="center"/>
          </w:tcPr>
          <w:p>
            <w:pPr>
              <w:jc w:val="center"/>
            </w:pPr>
            <w:r>
              <w:rPr>
                <w:rFonts w:hint="eastAsia"/>
              </w:rPr>
              <w:t>ND</w:t>
            </w:r>
          </w:p>
        </w:tc>
        <w:tc>
          <w:tcPr>
            <w:tcW w:w="1518" w:type="dxa"/>
            <w:vAlign w:val="center"/>
          </w:tcPr>
          <w:p>
            <w:pPr>
              <w:jc w:val="center"/>
            </w:pPr>
            <w:r>
              <w:rPr>
                <w:rFonts w:hint="eastAsia"/>
              </w:rPr>
              <w:t>ND</w:t>
            </w:r>
          </w:p>
        </w:tc>
        <w:tc>
          <w:tcPr>
            <w:tcW w:w="1519" w:type="dxa"/>
            <w:vAlign w:val="center"/>
          </w:tcPr>
          <w:p>
            <w:pPr>
              <w:jc w:val="center"/>
            </w:pPr>
            <w:r>
              <w:rPr>
                <w:rFonts w:hint="eastAsia"/>
              </w:rPr>
              <w:t>ND</w:t>
            </w:r>
          </w:p>
        </w:tc>
        <w:tc>
          <w:tcPr>
            <w:tcW w:w="1518" w:type="dxa"/>
            <w:vAlign w:val="center"/>
          </w:tcPr>
          <w:p>
            <w:pPr>
              <w:jc w:val="center"/>
            </w:pPr>
            <w:r>
              <w:rPr>
                <w:rFonts w:hint="eastAsia"/>
              </w:rPr>
              <w:t>ND</w:t>
            </w:r>
          </w:p>
        </w:tc>
        <w:tc>
          <w:tcPr>
            <w:tcW w:w="1519" w:type="dxa"/>
            <w:vAlign w:val="center"/>
          </w:tcPr>
          <w:p>
            <w:pPr>
              <w:jc w:val="center"/>
            </w:pPr>
            <w:r>
              <w:rPr>
                <w:rFonts w:hint="eastAsia"/>
              </w:rPr>
              <w:t>ND</w:t>
            </w:r>
          </w:p>
        </w:tc>
        <w:tc>
          <w:tcPr>
            <w:tcW w:w="1055" w:type="dxa"/>
            <w:vAlign w:val="center"/>
          </w:tcPr>
          <w:p>
            <w:pPr>
              <w:adjustRightInd w:val="0"/>
              <w:snapToGrid w:val="0"/>
              <w:spacing w:line="240" w:lineRule="exact"/>
              <w:jc w:val="center"/>
              <w:rPr>
                <w:szCs w:val="21"/>
              </w:rPr>
            </w:pPr>
            <w:r>
              <w:rPr>
                <w:rFonts w:hint="eastAsia"/>
                <w:szCs w:val="21"/>
              </w:rPr>
              <w:t>15</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46" w:type="dxa"/>
            <w:vMerge w:val="continue"/>
            <w:vAlign w:val="center"/>
          </w:tcPr>
          <w:p>
            <w:pPr>
              <w:jc w:val="center"/>
              <w:rPr>
                <w:szCs w:val="21"/>
              </w:rPr>
            </w:pPr>
          </w:p>
        </w:tc>
        <w:tc>
          <w:tcPr>
            <w:tcW w:w="1797" w:type="dxa"/>
            <w:vAlign w:val="center"/>
          </w:tcPr>
          <w:p>
            <w:pPr>
              <w:jc w:val="center"/>
            </w:pPr>
            <w:r>
              <w:t>动植物油类</w:t>
            </w:r>
          </w:p>
        </w:tc>
        <w:tc>
          <w:tcPr>
            <w:tcW w:w="1418" w:type="dxa"/>
            <w:vMerge w:val="continue"/>
            <w:vAlign w:val="center"/>
          </w:tcPr>
          <w:p>
            <w:pPr>
              <w:jc w:val="center"/>
              <w:rPr>
                <w:kern w:val="24"/>
                <w:szCs w:val="21"/>
              </w:rPr>
            </w:pPr>
          </w:p>
        </w:tc>
        <w:tc>
          <w:tcPr>
            <w:tcW w:w="1518" w:type="dxa"/>
            <w:vAlign w:val="center"/>
          </w:tcPr>
          <w:p>
            <w:pPr>
              <w:jc w:val="center"/>
            </w:pPr>
            <w:r>
              <w:rPr>
                <w:rFonts w:hint="eastAsia"/>
              </w:rPr>
              <w:t>0.69</w:t>
            </w:r>
          </w:p>
        </w:tc>
        <w:tc>
          <w:tcPr>
            <w:tcW w:w="1518" w:type="dxa"/>
            <w:vAlign w:val="center"/>
          </w:tcPr>
          <w:p>
            <w:pPr>
              <w:jc w:val="center"/>
            </w:pPr>
            <w:r>
              <w:rPr>
                <w:rFonts w:hint="eastAsia"/>
              </w:rPr>
              <w:t>0.74</w:t>
            </w:r>
          </w:p>
        </w:tc>
        <w:tc>
          <w:tcPr>
            <w:tcW w:w="1519" w:type="dxa"/>
            <w:vAlign w:val="center"/>
          </w:tcPr>
          <w:p>
            <w:pPr>
              <w:jc w:val="center"/>
            </w:pPr>
            <w:r>
              <w:rPr>
                <w:rFonts w:hint="eastAsia"/>
              </w:rPr>
              <w:t>0.60</w:t>
            </w:r>
          </w:p>
        </w:tc>
        <w:tc>
          <w:tcPr>
            <w:tcW w:w="1518" w:type="dxa"/>
            <w:vAlign w:val="center"/>
          </w:tcPr>
          <w:p>
            <w:pPr>
              <w:jc w:val="center"/>
            </w:pPr>
            <w:r>
              <w:rPr>
                <w:rFonts w:hint="eastAsia"/>
              </w:rPr>
              <w:t>0.65</w:t>
            </w:r>
          </w:p>
        </w:tc>
        <w:tc>
          <w:tcPr>
            <w:tcW w:w="1519" w:type="dxa"/>
            <w:vAlign w:val="center"/>
          </w:tcPr>
          <w:p>
            <w:pPr>
              <w:jc w:val="center"/>
              <w:rPr>
                <w:szCs w:val="21"/>
              </w:rPr>
            </w:pPr>
            <w:r>
              <w:rPr>
                <w:rFonts w:hint="eastAsia"/>
                <w:szCs w:val="21"/>
              </w:rPr>
              <w:t>0.67</w:t>
            </w:r>
          </w:p>
        </w:tc>
        <w:tc>
          <w:tcPr>
            <w:tcW w:w="1055" w:type="dxa"/>
            <w:vAlign w:val="center"/>
          </w:tcPr>
          <w:p>
            <w:pPr>
              <w:adjustRightInd w:val="0"/>
              <w:snapToGrid w:val="0"/>
              <w:spacing w:line="240" w:lineRule="exact"/>
              <w:jc w:val="center"/>
              <w:rPr>
                <w:szCs w:val="21"/>
              </w:rPr>
            </w:pPr>
            <w:r>
              <w:rPr>
                <w:rFonts w:hint="eastAsia"/>
                <w:szCs w:val="21"/>
              </w:rPr>
              <w:t>100</w:t>
            </w:r>
          </w:p>
        </w:tc>
        <w:tc>
          <w:tcPr>
            <w:tcW w:w="1275" w:type="dxa"/>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1146" w:type="dxa"/>
            <w:vAlign w:val="center"/>
          </w:tcPr>
          <w:p>
            <w:pPr>
              <w:jc w:val="center"/>
              <w:rPr>
                <w:szCs w:val="21"/>
              </w:rPr>
            </w:pPr>
            <w:r>
              <w:rPr>
                <w:szCs w:val="21"/>
              </w:rPr>
              <w:t>备注</w:t>
            </w:r>
          </w:p>
        </w:tc>
        <w:tc>
          <w:tcPr>
            <w:tcW w:w="13137" w:type="dxa"/>
            <w:gridSpan w:val="9"/>
            <w:vAlign w:val="center"/>
          </w:tcPr>
          <w:p>
            <w:pPr>
              <w:jc w:val="center"/>
              <w:rPr>
                <w:szCs w:val="21"/>
              </w:rPr>
            </w:pPr>
            <w:r>
              <w:rPr>
                <w:rFonts w:hint="eastAsia"/>
                <w:szCs w:val="21"/>
              </w:rPr>
              <w:t>ND表示未检出，石油类检出限为</w:t>
            </w:r>
            <w:r>
              <w:rPr>
                <w:szCs w:val="21"/>
              </w:rPr>
              <w:t>0.0</w:t>
            </w:r>
            <w:r>
              <w:rPr>
                <w:rFonts w:hint="eastAsia"/>
                <w:szCs w:val="21"/>
              </w:rPr>
              <w:t>6</w:t>
            </w:r>
            <w:r>
              <w:rPr>
                <w:szCs w:val="21"/>
              </w:rPr>
              <w:t>mg/L</w:t>
            </w:r>
          </w:p>
        </w:tc>
      </w:tr>
    </w:tbl>
    <w:p>
      <w:pPr>
        <w:widowControl/>
        <w:jc w:val="left"/>
        <w:rPr>
          <w:sz w:val="24"/>
        </w:rPr>
      </w:pPr>
    </w:p>
    <w:p>
      <w:pPr>
        <w:widowControl/>
        <w:jc w:val="left"/>
        <w:rPr>
          <w:sz w:val="24"/>
        </w:rPr>
      </w:pPr>
    </w:p>
    <w:p>
      <w:pPr>
        <w:widowControl/>
        <w:jc w:val="left"/>
        <w:rPr>
          <w:sz w:val="24"/>
        </w:rPr>
      </w:pPr>
      <w:r>
        <w:rPr>
          <w:sz w:val="24"/>
        </w:rPr>
        <w:t xml:space="preserve">续表八                                      </w:t>
      </w:r>
      <w:r>
        <w:rPr>
          <w:b/>
          <w:bCs/>
          <w:sz w:val="24"/>
        </w:rPr>
        <w:t>表8-2  有组织废气监测结果表</w:t>
      </w:r>
      <w:r>
        <w:rPr>
          <w:rFonts w:hint="eastAsia"/>
          <w:b/>
          <w:bCs/>
          <w:sz w:val="24"/>
        </w:rPr>
        <w:t>（一）</w:t>
      </w:r>
    </w:p>
    <w:tbl>
      <w:tblPr>
        <w:tblStyle w:val="18"/>
        <w:tblW w:w="1534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6"/>
        <w:gridCol w:w="567"/>
        <w:gridCol w:w="703"/>
        <w:gridCol w:w="714"/>
        <w:gridCol w:w="886"/>
        <w:gridCol w:w="886"/>
        <w:gridCol w:w="886"/>
        <w:gridCol w:w="858"/>
        <w:gridCol w:w="914"/>
        <w:gridCol w:w="886"/>
        <w:gridCol w:w="886"/>
        <w:gridCol w:w="886"/>
        <w:gridCol w:w="886"/>
        <w:gridCol w:w="886"/>
        <w:gridCol w:w="886"/>
        <w:gridCol w:w="886"/>
        <w:gridCol w:w="708"/>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737" w:hRule="atLeast"/>
          <w:jc w:val="center"/>
        </w:trPr>
        <w:tc>
          <w:tcPr>
            <w:tcW w:w="986" w:type="dxa"/>
            <w:vMerge w:val="restart"/>
            <w:tcBorders>
              <w:top w:val="single" w:color="auto" w:sz="12" w:space="0"/>
            </w:tcBorders>
            <w:tcMar>
              <w:left w:w="28" w:type="dxa"/>
              <w:right w:w="28" w:type="dxa"/>
            </w:tcMar>
            <w:vAlign w:val="center"/>
          </w:tcPr>
          <w:p>
            <w:pPr>
              <w:ind w:left="-141" w:leftChars="-67" w:right="-107" w:rightChars="-51"/>
              <w:jc w:val="center"/>
              <w:rPr>
                <w:b/>
                <w:bCs/>
                <w:szCs w:val="21"/>
              </w:rPr>
            </w:pPr>
            <w:r>
              <w:rPr>
                <w:b/>
                <w:bCs/>
                <w:szCs w:val="21"/>
              </w:rPr>
              <w:t>监测日期</w:t>
            </w:r>
          </w:p>
        </w:tc>
        <w:tc>
          <w:tcPr>
            <w:tcW w:w="567" w:type="dxa"/>
            <w:vMerge w:val="restart"/>
            <w:tcBorders>
              <w:top w:val="single" w:color="auto" w:sz="12" w:space="0"/>
            </w:tcBorders>
            <w:tcMar>
              <w:left w:w="28" w:type="dxa"/>
              <w:right w:w="28" w:type="dxa"/>
            </w:tcMar>
            <w:vAlign w:val="center"/>
          </w:tcPr>
          <w:p>
            <w:pPr>
              <w:ind w:left="-107" w:leftChars="-51" w:right="-118" w:rightChars="-56"/>
              <w:jc w:val="center"/>
              <w:rPr>
                <w:b/>
                <w:bCs/>
                <w:szCs w:val="21"/>
              </w:rPr>
            </w:pPr>
            <w:r>
              <w:rPr>
                <w:b/>
                <w:bCs/>
                <w:szCs w:val="21"/>
              </w:rPr>
              <w:t>监测</w:t>
            </w:r>
          </w:p>
          <w:p>
            <w:pPr>
              <w:ind w:left="-107" w:leftChars="-51" w:right="-118" w:rightChars="-56"/>
              <w:jc w:val="center"/>
              <w:rPr>
                <w:b/>
                <w:bCs/>
                <w:szCs w:val="21"/>
              </w:rPr>
            </w:pPr>
            <w:r>
              <w:rPr>
                <w:b/>
                <w:bCs/>
                <w:szCs w:val="21"/>
              </w:rPr>
              <w:t>点位</w:t>
            </w:r>
          </w:p>
        </w:tc>
        <w:tc>
          <w:tcPr>
            <w:tcW w:w="1417" w:type="dxa"/>
            <w:gridSpan w:val="2"/>
            <w:vMerge w:val="restart"/>
            <w:tcBorders>
              <w:top w:val="single" w:color="auto" w:sz="12" w:space="0"/>
            </w:tcBorders>
            <w:tcMar>
              <w:left w:w="28" w:type="dxa"/>
              <w:right w:w="28" w:type="dxa"/>
            </w:tcMar>
            <w:vAlign w:val="center"/>
          </w:tcPr>
          <w:p>
            <w:pPr>
              <w:jc w:val="center"/>
              <w:rPr>
                <w:b/>
                <w:bCs/>
                <w:szCs w:val="21"/>
              </w:rPr>
            </w:pPr>
            <w:r>
              <w:rPr>
                <w:b/>
                <w:bCs/>
                <w:szCs w:val="21"/>
              </w:rPr>
              <w:t>监测项目</w:t>
            </w:r>
          </w:p>
        </w:tc>
        <w:tc>
          <w:tcPr>
            <w:tcW w:w="10632" w:type="dxa"/>
            <w:gridSpan w:val="12"/>
            <w:tcBorders>
              <w:top w:val="single" w:color="auto" w:sz="12" w:space="0"/>
            </w:tcBorders>
            <w:tcMar>
              <w:left w:w="28" w:type="dxa"/>
              <w:right w:w="28" w:type="dxa"/>
            </w:tcMar>
            <w:vAlign w:val="center"/>
          </w:tcPr>
          <w:p>
            <w:pPr>
              <w:jc w:val="center"/>
              <w:rPr>
                <w:b/>
                <w:bCs/>
                <w:szCs w:val="21"/>
              </w:rPr>
            </w:pPr>
            <w:r>
              <w:rPr>
                <w:b/>
                <w:bCs/>
                <w:szCs w:val="21"/>
              </w:rPr>
              <w:t>监测结果（流量：m</w:t>
            </w:r>
            <w:r>
              <w:rPr>
                <w:b/>
                <w:bCs/>
                <w:szCs w:val="21"/>
                <w:vertAlign w:val="superscript"/>
              </w:rPr>
              <w:t>3</w:t>
            </w:r>
            <w:r>
              <w:rPr>
                <w:b/>
                <w:bCs/>
                <w:szCs w:val="21"/>
              </w:rPr>
              <w:t>/h；浓度：mg/m</w:t>
            </w:r>
            <w:r>
              <w:rPr>
                <w:b/>
                <w:bCs/>
                <w:szCs w:val="21"/>
                <w:vertAlign w:val="superscript"/>
              </w:rPr>
              <w:t>3</w:t>
            </w:r>
            <w:r>
              <w:rPr>
                <w:b/>
                <w:bCs/>
                <w:szCs w:val="21"/>
              </w:rPr>
              <w:t>；速率：kg/ h）</w:t>
            </w:r>
          </w:p>
        </w:tc>
        <w:tc>
          <w:tcPr>
            <w:tcW w:w="708" w:type="dxa"/>
            <w:vMerge w:val="restart"/>
            <w:tcBorders>
              <w:top w:val="single" w:color="auto" w:sz="12" w:space="0"/>
            </w:tcBorders>
            <w:tcMar>
              <w:left w:w="28" w:type="dxa"/>
              <w:right w:w="28" w:type="dxa"/>
            </w:tcMar>
            <w:vAlign w:val="center"/>
          </w:tcPr>
          <w:p>
            <w:pPr>
              <w:jc w:val="center"/>
              <w:rPr>
                <w:b/>
                <w:bCs/>
                <w:szCs w:val="21"/>
              </w:rPr>
            </w:pPr>
            <w:r>
              <w:rPr>
                <w:b/>
                <w:bCs/>
                <w:szCs w:val="21"/>
              </w:rPr>
              <w:t>处理效率（%）</w:t>
            </w:r>
          </w:p>
        </w:tc>
        <w:tc>
          <w:tcPr>
            <w:tcW w:w="1039" w:type="dxa"/>
            <w:vMerge w:val="restart"/>
            <w:tcBorders>
              <w:top w:val="single" w:color="auto" w:sz="12" w:space="0"/>
            </w:tcBorders>
            <w:tcMar>
              <w:left w:w="28" w:type="dxa"/>
              <w:right w:w="28" w:type="dxa"/>
            </w:tcMar>
            <w:vAlign w:val="center"/>
          </w:tcPr>
          <w:p>
            <w:pPr>
              <w:jc w:val="center"/>
              <w:rPr>
                <w:b/>
                <w:bCs/>
                <w:szCs w:val="21"/>
              </w:rPr>
            </w:pPr>
            <w:r>
              <w:rPr>
                <w:b/>
                <w:bCs/>
                <w:szCs w:val="21"/>
              </w:rPr>
              <w:t>执行标准（浓度：mg/m</w:t>
            </w:r>
            <w:r>
              <w:rPr>
                <w:b/>
                <w:bCs/>
                <w:szCs w:val="21"/>
                <w:vertAlign w:val="superscript"/>
              </w:rPr>
              <w:t>3</w:t>
            </w:r>
            <w:r>
              <w:rPr>
                <w:b/>
                <w:bCs/>
                <w:szCs w:val="21"/>
              </w:rPr>
              <w:t>；速率：kg/ 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Borders>
              <w:top w:val="single" w:color="auto" w:sz="12" w:space="0"/>
            </w:tcBorders>
            <w:tcMar>
              <w:left w:w="28" w:type="dxa"/>
              <w:right w:w="28" w:type="dxa"/>
            </w:tcMar>
            <w:vAlign w:val="center"/>
          </w:tcPr>
          <w:p>
            <w:pPr>
              <w:jc w:val="center"/>
              <w:rPr>
                <w:szCs w:val="21"/>
              </w:rPr>
            </w:pPr>
          </w:p>
        </w:tc>
        <w:tc>
          <w:tcPr>
            <w:tcW w:w="567" w:type="dxa"/>
            <w:vMerge w:val="continue"/>
            <w:tcBorders>
              <w:top w:val="single" w:color="auto" w:sz="12" w:space="0"/>
            </w:tcBorders>
            <w:tcMar>
              <w:left w:w="28" w:type="dxa"/>
              <w:right w:w="28" w:type="dxa"/>
            </w:tcMar>
            <w:vAlign w:val="center"/>
          </w:tcPr>
          <w:p>
            <w:pPr>
              <w:jc w:val="center"/>
              <w:rPr>
                <w:szCs w:val="21"/>
              </w:rPr>
            </w:pPr>
          </w:p>
        </w:tc>
        <w:tc>
          <w:tcPr>
            <w:tcW w:w="1417" w:type="dxa"/>
            <w:gridSpan w:val="2"/>
            <w:vMerge w:val="continue"/>
            <w:tcBorders>
              <w:top w:val="single" w:color="auto" w:sz="12" w:space="0"/>
            </w:tcBorders>
            <w:tcMar>
              <w:left w:w="28" w:type="dxa"/>
              <w:right w:w="28" w:type="dxa"/>
            </w:tcMar>
            <w:vAlign w:val="center"/>
          </w:tcPr>
          <w:p>
            <w:pPr>
              <w:jc w:val="center"/>
              <w:rPr>
                <w:szCs w:val="21"/>
              </w:rPr>
            </w:pPr>
          </w:p>
        </w:tc>
        <w:tc>
          <w:tcPr>
            <w:tcW w:w="3516"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处理装置处理前进口</w:t>
            </w:r>
            <w:r>
              <w:rPr>
                <w:rFonts w:hint="eastAsia"/>
                <w:b/>
                <w:bCs/>
                <w:szCs w:val="21"/>
              </w:rPr>
              <w:t>1</w:t>
            </w:r>
          </w:p>
        </w:tc>
        <w:tc>
          <w:tcPr>
            <w:tcW w:w="3572"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处理装置处理前进口</w:t>
            </w:r>
            <w:r>
              <w:rPr>
                <w:rFonts w:hint="eastAsia"/>
                <w:b/>
                <w:bCs/>
                <w:szCs w:val="21"/>
              </w:rPr>
              <w:t>2</w:t>
            </w:r>
          </w:p>
        </w:tc>
        <w:tc>
          <w:tcPr>
            <w:tcW w:w="3544"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处理装置处理后</w:t>
            </w:r>
          </w:p>
        </w:tc>
        <w:tc>
          <w:tcPr>
            <w:tcW w:w="708" w:type="dxa"/>
            <w:vMerge w:val="continue"/>
            <w:tcMar>
              <w:left w:w="28" w:type="dxa"/>
              <w:right w:w="28" w:type="dxa"/>
            </w:tcMar>
            <w:vAlign w:val="center"/>
          </w:tcPr>
          <w:p>
            <w:pPr>
              <w:jc w:val="center"/>
              <w:rPr>
                <w:szCs w:val="21"/>
              </w:rPr>
            </w:pPr>
          </w:p>
        </w:tc>
        <w:tc>
          <w:tcPr>
            <w:tcW w:w="1039" w:type="dxa"/>
            <w:vMerge w:val="continue"/>
            <w:tcMar>
              <w:left w:w="28" w:type="dxa"/>
              <w:right w:w="28" w:type="dxa"/>
            </w:tcMar>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jc w:val="center"/>
              <w:rPr>
                <w:szCs w:val="21"/>
              </w:rPr>
            </w:pPr>
          </w:p>
        </w:tc>
        <w:tc>
          <w:tcPr>
            <w:tcW w:w="1417" w:type="dxa"/>
            <w:gridSpan w:val="2"/>
            <w:vMerge w:val="continue"/>
            <w:tcMar>
              <w:left w:w="28" w:type="dxa"/>
              <w:right w:w="28" w:type="dxa"/>
            </w:tcMar>
            <w:vAlign w:val="center"/>
          </w:tcPr>
          <w:p>
            <w:pPr>
              <w:jc w:val="center"/>
              <w:rPr>
                <w:szCs w:val="21"/>
              </w:rPr>
            </w:pPr>
          </w:p>
        </w:tc>
        <w:tc>
          <w:tcPr>
            <w:tcW w:w="886"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58" w:type="dxa"/>
            <w:tcMar>
              <w:left w:w="28" w:type="dxa"/>
              <w:right w:w="28" w:type="dxa"/>
            </w:tcMar>
            <w:vAlign w:val="center"/>
          </w:tcPr>
          <w:p>
            <w:pPr>
              <w:jc w:val="center"/>
              <w:rPr>
                <w:b/>
                <w:bCs/>
                <w:szCs w:val="21"/>
              </w:rPr>
            </w:pPr>
            <w:r>
              <w:rPr>
                <w:b/>
                <w:bCs/>
                <w:szCs w:val="21"/>
              </w:rPr>
              <w:t>均值</w:t>
            </w:r>
          </w:p>
        </w:tc>
        <w:tc>
          <w:tcPr>
            <w:tcW w:w="914"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86" w:type="dxa"/>
            <w:tcMar>
              <w:left w:w="28" w:type="dxa"/>
              <w:right w:w="28" w:type="dxa"/>
            </w:tcMar>
            <w:vAlign w:val="center"/>
          </w:tcPr>
          <w:p>
            <w:pPr>
              <w:jc w:val="center"/>
              <w:rPr>
                <w:b/>
                <w:bCs/>
                <w:szCs w:val="21"/>
              </w:rPr>
            </w:pPr>
            <w:r>
              <w:rPr>
                <w:b/>
                <w:bCs/>
                <w:szCs w:val="21"/>
              </w:rPr>
              <w:t>均值</w:t>
            </w:r>
          </w:p>
        </w:tc>
        <w:tc>
          <w:tcPr>
            <w:tcW w:w="886"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86" w:type="dxa"/>
            <w:tcMar>
              <w:left w:w="28" w:type="dxa"/>
              <w:right w:w="28" w:type="dxa"/>
            </w:tcMar>
            <w:vAlign w:val="center"/>
          </w:tcPr>
          <w:p>
            <w:pPr>
              <w:jc w:val="center"/>
              <w:rPr>
                <w:b/>
                <w:bCs/>
                <w:szCs w:val="21"/>
              </w:rPr>
            </w:pPr>
            <w:r>
              <w:rPr>
                <w:b/>
                <w:bCs/>
                <w:szCs w:val="21"/>
              </w:rPr>
              <w:t>均值</w:t>
            </w:r>
          </w:p>
        </w:tc>
        <w:tc>
          <w:tcPr>
            <w:tcW w:w="708" w:type="dxa"/>
            <w:vMerge w:val="continue"/>
            <w:tcMar>
              <w:left w:w="28" w:type="dxa"/>
              <w:right w:w="28" w:type="dxa"/>
            </w:tcMar>
            <w:vAlign w:val="center"/>
          </w:tcPr>
          <w:p>
            <w:pPr>
              <w:jc w:val="center"/>
              <w:rPr>
                <w:szCs w:val="21"/>
              </w:rPr>
            </w:pPr>
          </w:p>
        </w:tc>
        <w:tc>
          <w:tcPr>
            <w:tcW w:w="1039" w:type="dxa"/>
            <w:vMerge w:val="continue"/>
            <w:tcMar>
              <w:left w:w="28" w:type="dxa"/>
              <w:right w:w="28" w:type="dxa"/>
            </w:tcMar>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restart"/>
            <w:tcMar>
              <w:left w:w="28" w:type="dxa"/>
              <w:right w:w="28" w:type="dxa"/>
            </w:tcMar>
            <w:vAlign w:val="center"/>
          </w:tcPr>
          <w:p>
            <w:pPr>
              <w:ind w:left="-38" w:leftChars="-18" w:right="-53" w:rightChars="-25"/>
              <w:jc w:val="center"/>
              <w:rPr>
                <w:szCs w:val="21"/>
              </w:rPr>
            </w:pPr>
            <w:r>
              <w:rPr>
                <w:szCs w:val="21"/>
              </w:rPr>
              <w:t>201</w:t>
            </w:r>
            <w:r>
              <w:rPr>
                <w:rFonts w:hint="eastAsia"/>
                <w:szCs w:val="21"/>
              </w:rPr>
              <w:t>9</w:t>
            </w:r>
            <w:r>
              <w:rPr>
                <w:szCs w:val="21"/>
              </w:rPr>
              <w:t>年</w:t>
            </w:r>
            <w:r>
              <w:rPr>
                <w:rFonts w:hint="eastAsia"/>
                <w:szCs w:val="21"/>
              </w:rPr>
              <w:t>3</w:t>
            </w:r>
            <w:r>
              <w:rPr>
                <w:szCs w:val="21"/>
              </w:rPr>
              <w:t>月</w:t>
            </w:r>
            <w:r>
              <w:rPr>
                <w:rFonts w:hint="eastAsia"/>
                <w:szCs w:val="21"/>
              </w:rPr>
              <w:t>20</w:t>
            </w:r>
            <w:r>
              <w:rPr>
                <w:szCs w:val="21"/>
              </w:rPr>
              <w:t>日</w:t>
            </w:r>
          </w:p>
        </w:tc>
        <w:tc>
          <w:tcPr>
            <w:tcW w:w="567" w:type="dxa"/>
            <w:vMerge w:val="restart"/>
            <w:tcMar>
              <w:left w:w="28" w:type="dxa"/>
              <w:right w:w="28" w:type="dxa"/>
            </w:tcMar>
            <w:vAlign w:val="center"/>
          </w:tcPr>
          <w:p>
            <w:pPr>
              <w:jc w:val="center"/>
              <w:rPr>
                <w:szCs w:val="21"/>
              </w:rPr>
            </w:pPr>
            <w:r>
              <w:rPr>
                <w:rFonts w:hint="eastAsia"/>
              </w:rPr>
              <w:t>回火、退火工序排气筒FQ1</w:t>
            </w:r>
          </w:p>
        </w:tc>
        <w:tc>
          <w:tcPr>
            <w:tcW w:w="1417" w:type="dxa"/>
            <w:gridSpan w:val="2"/>
            <w:tcMar>
              <w:left w:w="28" w:type="dxa"/>
              <w:right w:w="28" w:type="dxa"/>
            </w:tcMar>
            <w:vAlign w:val="center"/>
          </w:tcPr>
          <w:p>
            <w:pPr>
              <w:jc w:val="center"/>
              <w:rPr>
                <w:szCs w:val="21"/>
              </w:rPr>
            </w:pPr>
            <w:r>
              <w:rPr>
                <w:szCs w:val="21"/>
              </w:rPr>
              <w:t>标干废气流量</w:t>
            </w:r>
          </w:p>
        </w:tc>
        <w:tc>
          <w:tcPr>
            <w:tcW w:w="886" w:type="dxa"/>
            <w:tcMar>
              <w:left w:w="28" w:type="dxa"/>
              <w:right w:w="28" w:type="dxa"/>
            </w:tcMar>
            <w:vAlign w:val="center"/>
          </w:tcPr>
          <w:p>
            <w:pPr>
              <w:spacing w:line="276" w:lineRule="auto"/>
              <w:jc w:val="center"/>
            </w:pPr>
            <w:r>
              <w:rPr>
                <w:rFonts w:hint="eastAsia"/>
              </w:rPr>
              <w:t>1486</w:t>
            </w:r>
          </w:p>
        </w:tc>
        <w:tc>
          <w:tcPr>
            <w:tcW w:w="886" w:type="dxa"/>
            <w:tcMar>
              <w:left w:w="28" w:type="dxa"/>
              <w:right w:w="28" w:type="dxa"/>
            </w:tcMar>
            <w:vAlign w:val="center"/>
          </w:tcPr>
          <w:p>
            <w:pPr>
              <w:spacing w:line="276" w:lineRule="auto"/>
              <w:jc w:val="center"/>
            </w:pPr>
            <w:r>
              <w:rPr>
                <w:rFonts w:hint="eastAsia"/>
              </w:rPr>
              <w:t>1209</w:t>
            </w:r>
          </w:p>
        </w:tc>
        <w:tc>
          <w:tcPr>
            <w:tcW w:w="886" w:type="dxa"/>
            <w:tcMar>
              <w:left w:w="28" w:type="dxa"/>
              <w:right w:w="28" w:type="dxa"/>
            </w:tcMar>
            <w:vAlign w:val="center"/>
          </w:tcPr>
          <w:p>
            <w:pPr>
              <w:spacing w:line="276" w:lineRule="auto"/>
              <w:jc w:val="center"/>
            </w:pPr>
            <w:r>
              <w:rPr>
                <w:rFonts w:hint="eastAsia"/>
              </w:rPr>
              <w:t>1178</w:t>
            </w:r>
          </w:p>
        </w:tc>
        <w:tc>
          <w:tcPr>
            <w:tcW w:w="858" w:type="dxa"/>
            <w:tcMar>
              <w:left w:w="28" w:type="dxa"/>
              <w:right w:w="28" w:type="dxa"/>
            </w:tcMar>
            <w:vAlign w:val="center"/>
          </w:tcPr>
          <w:p>
            <w:pPr>
              <w:jc w:val="center"/>
              <w:rPr>
                <w:szCs w:val="21"/>
              </w:rPr>
            </w:pPr>
            <w:r>
              <w:rPr>
                <w:rFonts w:hint="eastAsia"/>
                <w:szCs w:val="21"/>
              </w:rPr>
              <w:t>/</w:t>
            </w:r>
          </w:p>
        </w:tc>
        <w:tc>
          <w:tcPr>
            <w:tcW w:w="914" w:type="dxa"/>
            <w:tcMar>
              <w:left w:w="28" w:type="dxa"/>
              <w:right w:w="28" w:type="dxa"/>
            </w:tcMar>
            <w:vAlign w:val="center"/>
          </w:tcPr>
          <w:p>
            <w:pPr>
              <w:spacing w:line="276" w:lineRule="auto"/>
              <w:jc w:val="center"/>
            </w:pPr>
            <w:r>
              <w:rPr>
                <w:rFonts w:hint="eastAsia"/>
              </w:rPr>
              <w:t>473</w:t>
            </w:r>
          </w:p>
        </w:tc>
        <w:tc>
          <w:tcPr>
            <w:tcW w:w="886" w:type="dxa"/>
            <w:tcMar>
              <w:left w:w="28" w:type="dxa"/>
              <w:right w:w="28" w:type="dxa"/>
            </w:tcMar>
            <w:vAlign w:val="center"/>
          </w:tcPr>
          <w:p>
            <w:pPr>
              <w:spacing w:line="276" w:lineRule="auto"/>
              <w:jc w:val="center"/>
            </w:pPr>
            <w:r>
              <w:rPr>
                <w:rFonts w:hint="eastAsia"/>
              </w:rPr>
              <w:t>473</w:t>
            </w:r>
          </w:p>
        </w:tc>
        <w:tc>
          <w:tcPr>
            <w:tcW w:w="886" w:type="dxa"/>
            <w:tcMar>
              <w:left w:w="28" w:type="dxa"/>
              <w:right w:w="28" w:type="dxa"/>
            </w:tcMar>
            <w:vAlign w:val="center"/>
          </w:tcPr>
          <w:p>
            <w:pPr>
              <w:spacing w:line="276" w:lineRule="auto"/>
              <w:jc w:val="center"/>
            </w:pPr>
            <w:r>
              <w:rPr>
                <w:rFonts w:hint="eastAsia"/>
              </w:rPr>
              <w:t>472</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1382</w:t>
            </w:r>
          </w:p>
        </w:tc>
        <w:tc>
          <w:tcPr>
            <w:tcW w:w="886" w:type="dxa"/>
            <w:tcMar>
              <w:left w:w="28" w:type="dxa"/>
              <w:right w:w="28" w:type="dxa"/>
            </w:tcMar>
            <w:vAlign w:val="center"/>
          </w:tcPr>
          <w:p>
            <w:pPr>
              <w:spacing w:line="276" w:lineRule="auto"/>
              <w:jc w:val="center"/>
            </w:pPr>
            <w:r>
              <w:rPr>
                <w:rFonts w:hint="eastAsia"/>
              </w:rPr>
              <w:t>1264</w:t>
            </w:r>
          </w:p>
        </w:tc>
        <w:tc>
          <w:tcPr>
            <w:tcW w:w="886" w:type="dxa"/>
            <w:tcMar>
              <w:left w:w="28" w:type="dxa"/>
              <w:right w:w="28" w:type="dxa"/>
            </w:tcMar>
            <w:vAlign w:val="center"/>
          </w:tcPr>
          <w:p>
            <w:pPr>
              <w:spacing w:line="276" w:lineRule="auto"/>
              <w:jc w:val="center"/>
            </w:pPr>
            <w:r>
              <w:rPr>
                <w:rFonts w:hint="eastAsia"/>
              </w:rPr>
              <w:t>1171</w:t>
            </w:r>
          </w:p>
        </w:tc>
        <w:tc>
          <w:tcPr>
            <w:tcW w:w="886" w:type="dxa"/>
            <w:tcMar>
              <w:left w:w="28" w:type="dxa"/>
              <w:right w:w="28" w:type="dxa"/>
            </w:tcMar>
            <w:vAlign w:val="center"/>
          </w:tcPr>
          <w:p>
            <w:pPr>
              <w:jc w:val="center"/>
              <w:rPr>
                <w:szCs w:val="21"/>
              </w:rPr>
            </w:pPr>
            <w:r>
              <w:rPr>
                <w:rFonts w:hint="eastAsia"/>
                <w:szCs w:val="21"/>
              </w:rPr>
              <w:t>/</w:t>
            </w:r>
          </w:p>
        </w:tc>
        <w:tc>
          <w:tcPr>
            <w:tcW w:w="708" w:type="dxa"/>
            <w:tcMar>
              <w:left w:w="28" w:type="dxa"/>
              <w:right w:w="28" w:type="dxa"/>
            </w:tcMar>
            <w:vAlign w:val="center"/>
          </w:tcPr>
          <w:p>
            <w:pPr>
              <w:jc w:val="center"/>
              <w:rPr>
                <w:kern w:val="0"/>
                <w:szCs w:val="21"/>
              </w:rPr>
            </w:pPr>
            <w:r>
              <w:rPr>
                <w:rFonts w:hint="eastAsia"/>
                <w:kern w:val="0"/>
                <w:szCs w:val="21"/>
              </w:rPr>
              <w:t>/</w:t>
            </w:r>
          </w:p>
        </w:tc>
        <w:tc>
          <w:tcPr>
            <w:tcW w:w="1039" w:type="dxa"/>
            <w:tcMar>
              <w:left w:w="28" w:type="dxa"/>
              <w:right w:w="28" w:type="dxa"/>
            </w:tcMar>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 w:leftChars="-7"/>
              <w:jc w:val="center"/>
              <w:rPr>
                <w:szCs w:val="21"/>
              </w:rPr>
            </w:pPr>
          </w:p>
        </w:tc>
        <w:tc>
          <w:tcPr>
            <w:tcW w:w="703" w:type="dxa"/>
            <w:vMerge w:val="restart"/>
            <w:tcMar>
              <w:left w:w="28" w:type="dxa"/>
              <w:right w:w="28" w:type="dxa"/>
            </w:tcMar>
            <w:vAlign w:val="center"/>
          </w:tcPr>
          <w:p>
            <w:pPr>
              <w:jc w:val="center"/>
              <w:rPr>
                <w:szCs w:val="21"/>
              </w:rPr>
            </w:pPr>
            <w:r>
              <w:rPr>
                <w:rFonts w:hint="eastAsia"/>
                <w:szCs w:val="21"/>
              </w:rPr>
              <w:t>非甲烷总烃</w:t>
            </w:r>
          </w:p>
        </w:tc>
        <w:tc>
          <w:tcPr>
            <w:tcW w:w="714" w:type="dxa"/>
            <w:tcMar>
              <w:left w:w="28" w:type="dxa"/>
              <w:right w:w="28" w:type="dxa"/>
            </w:tcMar>
            <w:vAlign w:val="center"/>
          </w:tcPr>
          <w:p>
            <w:pPr>
              <w:jc w:val="center"/>
              <w:rPr>
                <w:szCs w:val="21"/>
              </w:rPr>
            </w:pPr>
            <w:r>
              <w:rPr>
                <w:szCs w:val="21"/>
              </w:rPr>
              <w:t>排放</w:t>
            </w:r>
          </w:p>
          <w:p>
            <w:pPr>
              <w:jc w:val="center"/>
              <w:rPr>
                <w:szCs w:val="21"/>
              </w:rPr>
            </w:pPr>
            <w:r>
              <w:rPr>
                <w:szCs w:val="21"/>
              </w:rPr>
              <w:t>浓度</w:t>
            </w:r>
          </w:p>
        </w:tc>
        <w:tc>
          <w:tcPr>
            <w:tcW w:w="886" w:type="dxa"/>
            <w:tcMar>
              <w:left w:w="28" w:type="dxa"/>
              <w:right w:w="28" w:type="dxa"/>
            </w:tcMar>
            <w:vAlign w:val="center"/>
          </w:tcPr>
          <w:p>
            <w:pPr>
              <w:spacing w:line="276" w:lineRule="auto"/>
              <w:jc w:val="center"/>
            </w:pPr>
            <w:r>
              <w:rPr>
                <w:rFonts w:hint="eastAsia"/>
              </w:rPr>
              <w:t>4.15</w:t>
            </w:r>
          </w:p>
        </w:tc>
        <w:tc>
          <w:tcPr>
            <w:tcW w:w="886" w:type="dxa"/>
            <w:tcMar>
              <w:left w:w="28" w:type="dxa"/>
              <w:right w:w="28" w:type="dxa"/>
            </w:tcMar>
            <w:vAlign w:val="center"/>
          </w:tcPr>
          <w:p>
            <w:pPr>
              <w:spacing w:line="276" w:lineRule="auto"/>
              <w:jc w:val="center"/>
            </w:pPr>
            <w:r>
              <w:rPr>
                <w:rFonts w:hint="eastAsia"/>
              </w:rPr>
              <w:t>4.82</w:t>
            </w:r>
          </w:p>
        </w:tc>
        <w:tc>
          <w:tcPr>
            <w:tcW w:w="886" w:type="dxa"/>
            <w:tcMar>
              <w:left w:w="28" w:type="dxa"/>
              <w:right w:w="28" w:type="dxa"/>
            </w:tcMar>
            <w:vAlign w:val="center"/>
          </w:tcPr>
          <w:p>
            <w:pPr>
              <w:spacing w:line="276" w:lineRule="auto"/>
              <w:jc w:val="center"/>
            </w:pPr>
            <w:r>
              <w:rPr>
                <w:rFonts w:hint="eastAsia"/>
              </w:rPr>
              <w:t>4.37</w:t>
            </w:r>
          </w:p>
        </w:tc>
        <w:tc>
          <w:tcPr>
            <w:tcW w:w="858" w:type="dxa"/>
            <w:tcMar>
              <w:left w:w="28" w:type="dxa"/>
              <w:right w:w="28" w:type="dxa"/>
            </w:tcMar>
            <w:vAlign w:val="center"/>
          </w:tcPr>
          <w:p>
            <w:pPr>
              <w:jc w:val="center"/>
              <w:rPr>
                <w:szCs w:val="21"/>
              </w:rPr>
            </w:pPr>
            <w:r>
              <w:rPr>
                <w:rFonts w:hint="eastAsia"/>
                <w:szCs w:val="21"/>
              </w:rPr>
              <w:t>4.45</w:t>
            </w:r>
          </w:p>
        </w:tc>
        <w:tc>
          <w:tcPr>
            <w:tcW w:w="914" w:type="dxa"/>
            <w:tcMar>
              <w:left w:w="28" w:type="dxa"/>
              <w:right w:w="28" w:type="dxa"/>
            </w:tcMar>
            <w:vAlign w:val="center"/>
          </w:tcPr>
          <w:p>
            <w:pPr>
              <w:spacing w:line="276" w:lineRule="auto"/>
              <w:jc w:val="center"/>
            </w:pPr>
            <w:r>
              <w:rPr>
                <w:rFonts w:hint="eastAsia"/>
              </w:rPr>
              <w:t>2.85</w:t>
            </w:r>
          </w:p>
        </w:tc>
        <w:tc>
          <w:tcPr>
            <w:tcW w:w="886" w:type="dxa"/>
            <w:tcMar>
              <w:left w:w="28" w:type="dxa"/>
              <w:right w:w="28" w:type="dxa"/>
            </w:tcMar>
            <w:vAlign w:val="center"/>
          </w:tcPr>
          <w:p>
            <w:pPr>
              <w:spacing w:line="276" w:lineRule="auto"/>
              <w:jc w:val="center"/>
            </w:pPr>
            <w:r>
              <w:rPr>
                <w:rFonts w:hint="eastAsia"/>
              </w:rPr>
              <w:t>3.38</w:t>
            </w:r>
          </w:p>
        </w:tc>
        <w:tc>
          <w:tcPr>
            <w:tcW w:w="886" w:type="dxa"/>
            <w:tcMar>
              <w:left w:w="28" w:type="dxa"/>
              <w:right w:w="28" w:type="dxa"/>
            </w:tcMar>
            <w:vAlign w:val="center"/>
          </w:tcPr>
          <w:p>
            <w:pPr>
              <w:spacing w:line="276" w:lineRule="auto"/>
              <w:jc w:val="center"/>
            </w:pPr>
            <w:r>
              <w:rPr>
                <w:rFonts w:hint="eastAsia"/>
              </w:rPr>
              <w:t>3.47</w:t>
            </w:r>
          </w:p>
        </w:tc>
        <w:tc>
          <w:tcPr>
            <w:tcW w:w="886" w:type="dxa"/>
            <w:tcMar>
              <w:left w:w="28" w:type="dxa"/>
              <w:right w:w="28" w:type="dxa"/>
            </w:tcMar>
            <w:vAlign w:val="center"/>
          </w:tcPr>
          <w:p>
            <w:pPr>
              <w:jc w:val="center"/>
              <w:rPr>
                <w:szCs w:val="21"/>
              </w:rPr>
            </w:pPr>
            <w:r>
              <w:rPr>
                <w:rFonts w:hint="eastAsia"/>
                <w:szCs w:val="21"/>
              </w:rPr>
              <w:t>3.23</w:t>
            </w:r>
          </w:p>
        </w:tc>
        <w:tc>
          <w:tcPr>
            <w:tcW w:w="886" w:type="dxa"/>
            <w:tcMar>
              <w:left w:w="28" w:type="dxa"/>
              <w:right w:w="28" w:type="dxa"/>
            </w:tcMar>
            <w:vAlign w:val="center"/>
          </w:tcPr>
          <w:p>
            <w:pPr>
              <w:spacing w:line="276" w:lineRule="auto"/>
              <w:jc w:val="center"/>
            </w:pPr>
            <w:r>
              <w:rPr>
                <w:rFonts w:hint="eastAsia"/>
              </w:rPr>
              <w:t>0.50</w:t>
            </w:r>
          </w:p>
        </w:tc>
        <w:tc>
          <w:tcPr>
            <w:tcW w:w="886" w:type="dxa"/>
            <w:tcMar>
              <w:left w:w="28" w:type="dxa"/>
              <w:right w:w="28" w:type="dxa"/>
            </w:tcMar>
            <w:vAlign w:val="center"/>
          </w:tcPr>
          <w:p>
            <w:pPr>
              <w:spacing w:line="276" w:lineRule="auto"/>
              <w:jc w:val="center"/>
            </w:pPr>
            <w:r>
              <w:rPr>
                <w:rFonts w:hint="eastAsia"/>
              </w:rPr>
              <w:t>0.37</w:t>
            </w:r>
          </w:p>
        </w:tc>
        <w:tc>
          <w:tcPr>
            <w:tcW w:w="886" w:type="dxa"/>
            <w:tcMar>
              <w:left w:w="28" w:type="dxa"/>
              <w:right w:w="28" w:type="dxa"/>
            </w:tcMar>
            <w:vAlign w:val="center"/>
          </w:tcPr>
          <w:p>
            <w:pPr>
              <w:spacing w:line="276" w:lineRule="auto"/>
              <w:jc w:val="center"/>
            </w:pPr>
            <w:r>
              <w:rPr>
                <w:rFonts w:hint="eastAsia"/>
              </w:rPr>
              <w:t>0.33</w:t>
            </w:r>
          </w:p>
        </w:tc>
        <w:tc>
          <w:tcPr>
            <w:tcW w:w="886" w:type="dxa"/>
            <w:tcMar>
              <w:left w:w="28" w:type="dxa"/>
              <w:right w:w="28" w:type="dxa"/>
            </w:tcMar>
            <w:vAlign w:val="center"/>
          </w:tcPr>
          <w:p>
            <w:pPr>
              <w:jc w:val="center"/>
              <w:rPr>
                <w:szCs w:val="21"/>
              </w:rPr>
            </w:pPr>
            <w:r>
              <w:rPr>
                <w:rFonts w:hint="eastAsia"/>
                <w:szCs w:val="21"/>
              </w:rPr>
              <w:t>0.40</w:t>
            </w:r>
          </w:p>
        </w:tc>
        <w:tc>
          <w:tcPr>
            <w:tcW w:w="708" w:type="dxa"/>
            <w:vMerge w:val="restart"/>
            <w:tcMar>
              <w:left w:w="28" w:type="dxa"/>
              <w:right w:w="28" w:type="dxa"/>
            </w:tcMar>
            <w:vAlign w:val="center"/>
          </w:tcPr>
          <w:p>
            <w:pPr>
              <w:jc w:val="center"/>
              <w:rPr>
                <w:szCs w:val="21"/>
              </w:rPr>
            </w:pPr>
            <w:r>
              <w:rPr>
                <w:rFonts w:hint="eastAsia"/>
                <w:szCs w:val="21"/>
              </w:rPr>
              <w:t>92.9</w:t>
            </w:r>
          </w:p>
        </w:tc>
        <w:tc>
          <w:tcPr>
            <w:tcW w:w="1039" w:type="dxa"/>
            <w:tcMar>
              <w:left w:w="28" w:type="dxa"/>
              <w:right w:w="28" w:type="dxa"/>
            </w:tcMar>
            <w:vAlign w:val="center"/>
          </w:tcPr>
          <w:p>
            <w:pPr>
              <w:jc w:val="center"/>
              <w:rPr>
                <w:kern w:val="0"/>
                <w:szCs w:val="21"/>
              </w:rPr>
            </w:pPr>
            <w:r>
              <w:rPr>
                <w:rFonts w:hint="eastAsia"/>
                <w:kern w:val="0"/>
                <w:szCs w:val="21"/>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continue"/>
            <w:tcMar>
              <w:left w:w="28" w:type="dxa"/>
              <w:right w:w="28" w:type="dxa"/>
            </w:tcMar>
            <w:vAlign w:val="center"/>
          </w:tcPr>
          <w:p>
            <w:pPr>
              <w:jc w:val="center"/>
              <w:rPr>
                <w:szCs w:val="21"/>
              </w:rPr>
            </w:pPr>
          </w:p>
        </w:tc>
        <w:tc>
          <w:tcPr>
            <w:tcW w:w="714" w:type="dxa"/>
            <w:tcMar>
              <w:left w:w="28" w:type="dxa"/>
              <w:right w:w="28" w:type="dxa"/>
            </w:tcMar>
            <w:vAlign w:val="center"/>
          </w:tcPr>
          <w:p>
            <w:pPr>
              <w:jc w:val="center"/>
              <w:rPr>
                <w:szCs w:val="21"/>
              </w:rPr>
            </w:pPr>
            <w:r>
              <w:rPr>
                <w:szCs w:val="21"/>
              </w:rPr>
              <w:t>排放</w:t>
            </w:r>
          </w:p>
          <w:p>
            <w:pPr>
              <w:jc w:val="center"/>
              <w:rPr>
                <w:szCs w:val="21"/>
              </w:rPr>
            </w:pPr>
            <w:r>
              <w:rPr>
                <w:szCs w:val="21"/>
              </w:rPr>
              <w:t>速率</w:t>
            </w:r>
          </w:p>
        </w:tc>
        <w:tc>
          <w:tcPr>
            <w:tcW w:w="886" w:type="dxa"/>
            <w:tcMar>
              <w:left w:w="28" w:type="dxa"/>
              <w:right w:w="28" w:type="dxa"/>
            </w:tcMar>
            <w:vAlign w:val="center"/>
          </w:tcPr>
          <w:p>
            <w:pPr>
              <w:spacing w:line="276" w:lineRule="auto"/>
              <w:jc w:val="center"/>
              <w:rPr>
                <w:sz w:val="18"/>
              </w:rPr>
            </w:pPr>
            <w:r>
              <w:rPr>
                <w:rFonts w:hint="eastAsia"/>
                <w:sz w:val="18"/>
              </w:rPr>
              <w:t>6.17×10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5.83×10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5.15×10</w:t>
            </w:r>
            <w:r>
              <w:rPr>
                <w:rFonts w:hint="eastAsia"/>
                <w:sz w:val="18"/>
                <w:vertAlign w:val="superscript"/>
              </w:rPr>
              <w:t>-3</w:t>
            </w:r>
          </w:p>
        </w:tc>
        <w:tc>
          <w:tcPr>
            <w:tcW w:w="858" w:type="dxa"/>
            <w:tcMar>
              <w:left w:w="28" w:type="dxa"/>
              <w:right w:w="28" w:type="dxa"/>
            </w:tcMar>
            <w:vAlign w:val="center"/>
          </w:tcPr>
          <w:p>
            <w:pPr>
              <w:jc w:val="center"/>
              <w:rPr>
                <w:sz w:val="18"/>
                <w:szCs w:val="21"/>
              </w:rPr>
            </w:pPr>
            <w:r>
              <w:rPr>
                <w:rFonts w:hint="eastAsia"/>
                <w:sz w:val="18"/>
                <w:szCs w:val="21"/>
              </w:rPr>
              <w:t>5.72</w:t>
            </w:r>
            <w:r>
              <w:rPr>
                <w:rFonts w:hint="eastAsia"/>
                <w:sz w:val="18"/>
              </w:rPr>
              <w:t>×10</w:t>
            </w:r>
            <w:r>
              <w:rPr>
                <w:rFonts w:hint="eastAsia"/>
                <w:sz w:val="18"/>
                <w:vertAlign w:val="superscript"/>
              </w:rPr>
              <w:t>-3</w:t>
            </w:r>
          </w:p>
        </w:tc>
        <w:tc>
          <w:tcPr>
            <w:tcW w:w="914" w:type="dxa"/>
            <w:tcMar>
              <w:left w:w="28" w:type="dxa"/>
              <w:right w:w="28" w:type="dxa"/>
            </w:tcMar>
            <w:vAlign w:val="center"/>
          </w:tcPr>
          <w:p>
            <w:pPr>
              <w:spacing w:line="276" w:lineRule="auto"/>
              <w:jc w:val="center"/>
              <w:rPr>
                <w:sz w:val="18"/>
              </w:rPr>
            </w:pPr>
            <w:r>
              <w:rPr>
                <w:rFonts w:hint="eastAsia"/>
                <w:sz w:val="18"/>
              </w:rPr>
              <w:t>1.35×10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1.60×10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1.64×10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1.53</w:t>
            </w:r>
            <w:r>
              <w:rPr>
                <w:rFonts w:hint="eastAsia"/>
                <w:sz w:val="18"/>
              </w:rPr>
              <w:t>×10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6.91×10</w:t>
            </w:r>
            <w:r>
              <w:rPr>
                <w:rFonts w:hint="eastAsia"/>
                <w:sz w:val="18"/>
                <w:vertAlign w:val="superscript"/>
              </w:rPr>
              <w:t>-4</w:t>
            </w:r>
          </w:p>
        </w:tc>
        <w:tc>
          <w:tcPr>
            <w:tcW w:w="886" w:type="dxa"/>
            <w:tcMar>
              <w:left w:w="28" w:type="dxa"/>
              <w:right w:w="28" w:type="dxa"/>
            </w:tcMar>
            <w:vAlign w:val="center"/>
          </w:tcPr>
          <w:p>
            <w:pPr>
              <w:spacing w:line="276" w:lineRule="auto"/>
              <w:jc w:val="center"/>
              <w:rPr>
                <w:sz w:val="18"/>
              </w:rPr>
            </w:pPr>
            <w:r>
              <w:rPr>
                <w:rFonts w:hint="eastAsia"/>
                <w:sz w:val="18"/>
              </w:rPr>
              <w:t>4.68×10</w:t>
            </w:r>
            <w:r>
              <w:rPr>
                <w:rFonts w:hint="eastAsia"/>
                <w:sz w:val="18"/>
                <w:vertAlign w:val="superscript"/>
              </w:rPr>
              <w:t>-4</w:t>
            </w:r>
          </w:p>
        </w:tc>
        <w:tc>
          <w:tcPr>
            <w:tcW w:w="886" w:type="dxa"/>
            <w:tcMar>
              <w:left w:w="28" w:type="dxa"/>
              <w:right w:w="28" w:type="dxa"/>
            </w:tcMar>
            <w:vAlign w:val="center"/>
          </w:tcPr>
          <w:p>
            <w:pPr>
              <w:spacing w:line="276" w:lineRule="auto"/>
              <w:jc w:val="center"/>
              <w:rPr>
                <w:sz w:val="18"/>
              </w:rPr>
            </w:pPr>
            <w:r>
              <w:rPr>
                <w:rFonts w:hint="eastAsia"/>
                <w:sz w:val="18"/>
              </w:rPr>
              <w:t>3.86×10</w:t>
            </w:r>
            <w:r>
              <w:rPr>
                <w:rFonts w:hint="eastAsia"/>
                <w:sz w:val="18"/>
                <w:vertAlign w:val="superscript"/>
              </w:rPr>
              <w:t>-4</w:t>
            </w:r>
          </w:p>
        </w:tc>
        <w:tc>
          <w:tcPr>
            <w:tcW w:w="886" w:type="dxa"/>
            <w:tcMar>
              <w:left w:w="28" w:type="dxa"/>
              <w:right w:w="28" w:type="dxa"/>
            </w:tcMar>
            <w:vAlign w:val="center"/>
          </w:tcPr>
          <w:p>
            <w:pPr>
              <w:jc w:val="center"/>
              <w:rPr>
                <w:sz w:val="18"/>
                <w:szCs w:val="21"/>
              </w:rPr>
            </w:pPr>
            <w:r>
              <w:rPr>
                <w:rFonts w:hint="eastAsia"/>
                <w:sz w:val="18"/>
                <w:szCs w:val="21"/>
              </w:rPr>
              <w:t>5.15</w:t>
            </w:r>
            <w:r>
              <w:rPr>
                <w:rFonts w:hint="eastAsia"/>
                <w:sz w:val="18"/>
              </w:rPr>
              <w:t>×10</w:t>
            </w:r>
            <w:r>
              <w:rPr>
                <w:rFonts w:hint="eastAsia"/>
                <w:sz w:val="18"/>
                <w:vertAlign w:val="superscript"/>
              </w:rPr>
              <w:t>-4</w:t>
            </w:r>
          </w:p>
        </w:tc>
        <w:tc>
          <w:tcPr>
            <w:tcW w:w="708" w:type="dxa"/>
            <w:vMerge w:val="continue"/>
            <w:tcMar>
              <w:left w:w="28" w:type="dxa"/>
              <w:right w:w="28" w:type="dxa"/>
            </w:tcMar>
            <w:vAlign w:val="center"/>
          </w:tcPr>
          <w:p>
            <w:pPr>
              <w:jc w:val="center"/>
              <w:rPr>
                <w:szCs w:val="21"/>
              </w:rPr>
            </w:pPr>
          </w:p>
        </w:tc>
        <w:tc>
          <w:tcPr>
            <w:tcW w:w="1039" w:type="dxa"/>
            <w:tcMar>
              <w:left w:w="28" w:type="dxa"/>
              <w:right w:w="28" w:type="dxa"/>
            </w:tcMar>
            <w:vAlign w:val="center"/>
          </w:tcPr>
          <w:p>
            <w:pPr>
              <w:jc w:val="center"/>
              <w:rPr>
                <w:kern w:val="0"/>
                <w:szCs w:val="21"/>
              </w:rPr>
            </w:pPr>
            <w:r>
              <w:rPr>
                <w:rFonts w:hint="eastAsia"/>
                <w:kern w:val="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restart"/>
            <w:tcMar>
              <w:left w:w="28" w:type="dxa"/>
              <w:right w:w="28" w:type="dxa"/>
            </w:tcMar>
            <w:vAlign w:val="center"/>
          </w:tcPr>
          <w:p>
            <w:pPr>
              <w:ind w:left="-38" w:leftChars="-18" w:right="-53" w:rightChars="-25"/>
              <w:jc w:val="center"/>
              <w:rPr>
                <w:szCs w:val="21"/>
              </w:rPr>
            </w:pPr>
            <w:r>
              <w:rPr>
                <w:szCs w:val="21"/>
              </w:rPr>
              <w:t>201</w:t>
            </w:r>
            <w:r>
              <w:rPr>
                <w:rFonts w:hint="eastAsia"/>
                <w:szCs w:val="21"/>
              </w:rPr>
              <w:t>9</w:t>
            </w:r>
            <w:r>
              <w:rPr>
                <w:szCs w:val="21"/>
              </w:rPr>
              <w:t>年</w:t>
            </w:r>
            <w:r>
              <w:rPr>
                <w:rFonts w:hint="eastAsia"/>
                <w:szCs w:val="21"/>
              </w:rPr>
              <w:t>3</w:t>
            </w:r>
            <w:r>
              <w:rPr>
                <w:szCs w:val="21"/>
              </w:rPr>
              <w:t>月</w:t>
            </w:r>
            <w:r>
              <w:rPr>
                <w:rFonts w:hint="eastAsia"/>
                <w:szCs w:val="21"/>
              </w:rPr>
              <w:t>21</w:t>
            </w:r>
            <w:r>
              <w:rPr>
                <w:szCs w:val="21"/>
              </w:rPr>
              <w:t>日</w:t>
            </w:r>
          </w:p>
        </w:tc>
        <w:tc>
          <w:tcPr>
            <w:tcW w:w="567" w:type="dxa"/>
            <w:vMerge w:val="continue"/>
            <w:tcMar>
              <w:left w:w="28" w:type="dxa"/>
              <w:right w:w="28" w:type="dxa"/>
            </w:tcMar>
            <w:vAlign w:val="center"/>
          </w:tcPr>
          <w:p>
            <w:pPr>
              <w:ind w:left="-153" w:leftChars="-73"/>
              <w:jc w:val="center"/>
              <w:rPr>
                <w:szCs w:val="21"/>
              </w:rPr>
            </w:pPr>
          </w:p>
        </w:tc>
        <w:tc>
          <w:tcPr>
            <w:tcW w:w="1417" w:type="dxa"/>
            <w:gridSpan w:val="2"/>
            <w:tcMar>
              <w:left w:w="28" w:type="dxa"/>
              <w:right w:w="28" w:type="dxa"/>
            </w:tcMar>
            <w:vAlign w:val="center"/>
          </w:tcPr>
          <w:p>
            <w:pPr>
              <w:jc w:val="center"/>
              <w:rPr>
                <w:szCs w:val="21"/>
              </w:rPr>
            </w:pPr>
            <w:r>
              <w:rPr>
                <w:szCs w:val="21"/>
              </w:rPr>
              <w:t>标干废气流量</w:t>
            </w:r>
          </w:p>
        </w:tc>
        <w:tc>
          <w:tcPr>
            <w:tcW w:w="886" w:type="dxa"/>
            <w:tcMar>
              <w:left w:w="28" w:type="dxa"/>
              <w:right w:w="28" w:type="dxa"/>
            </w:tcMar>
            <w:vAlign w:val="center"/>
          </w:tcPr>
          <w:p>
            <w:pPr>
              <w:spacing w:line="276" w:lineRule="auto"/>
              <w:jc w:val="center"/>
            </w:pPr>
            <w:r>
              <w:rPr>
                <w:rFonts w:hint="eastAsia"/>
              </w:rPr>
              <w:t>985</w:t>
            </w:r>
          </w:p>
        </w:tc>
        <w:tc>
          <w:tcPr>
            <w:tcW w:w="886" w:type="dxa"/>
            <w:tcMar>
              <w:left w:w="28" w:type="dxa"/>
              <w:right w:w="28" w:type="dxa"/>
            </w:tcMar>
            <w:vAlign w:val="center"/>
          </w:tcPr>
          <w:p>
            <w:pPr>
              <w:spacing w:line="276" w:lineRule="auto"/>
              <w:jc w:val="center"/>
            </w:pPr>
            <w:r>
              <w:rPr>
                <w:rFonts w:hint="eastAsia"/>
              </w:rPr>
              <w:t>1441</w:t>
            </w:r>
          </w:p>
        </w:tc>
        <w:tc>
          <w:tcPr>
            <w:tcW w:w="886" w:type="dxa"/>
            <w:tcMar>
              <w:left w:w="28" w:type="dxa"/>
              <w:right w:w="28" w:type="dxa"/>
            </w:tcMar>
            <w:vAlign w:val="center"/>
          </w:tcPr>
          <w:p>
            <w:pPr>
              <w:spacing w:line="276" w:lineRule="auto"/>
              <w:jc w:val="center"/>
            </w:pPr>
            <w:r>
              <w:rPr>
                <w:rFonts w:hint="eastAsia"/>
              </w:rPr>
              <w:t>1431</w:t>
            </w:r>
          </w:p>
        </w:tc>
        <w:tc>
          <w:tcPr>
            <w:tcW w:w="858" w:type="dxa"/>
            <w:tcMar>
              <w:left w:w="28" w:type="dxa"/>
              <w:right w:w="28" w:type="dxa"/>
            </w:tcMar>
            <w:vAlign w:val="center"/>
          </w:tcPr>
          <w:p>
            <w:pPr>
              <w:jc w:val="center"/>
              <w:rPr>
                <w:szCs w:val="21"/>
              </w:rPr>
            </w:pPr>
            <w:r>
              <w:rPr>
                <w:rFonts w:hint="eastAsia"/>
                <w:szCs w:val="21"/>
              </w:rPr>
              <w:t>/</w:t>
            </w:r>
          </w:p>
        </w:tc>
        <w:tc>
          <w:tcPr>
            <w:tcW w:w="914" w:type="dxa"/>
            <w:tcMar>
              <w:left w:w="28" w:type="dxa"/>
              <w:right w:w="28" w:type="dxa"/>
            </w:tcMar>
            <w:vAlign w:val="center"/>
          </w:tcPr>
          <w:p>
            <w:pPr>
              <w:spacing w:line="276" w:lineRule="auto"/>
              <w:jc w:val="center"/>
            </w:pPr>
            <w:r>
              <w:rPr>
                <w:rFonts w:hint="eastAsia"/>
              </w:rPr>
              <w:t>518</w:t>
            </w:r>
          </w:p>
        </w:tc>
        <w:tc>
          <w:tcPr>
            <w:tcW w:w="886" w:type="dxa"/>
            <w:tcMar>
              <w:left w:w="28" w:type="dxa"/>
              <w:right w:w="28" w:type="dxa"/>
            </w:tcMar>
            <w:vAlign w:val="center"/>
          </w:tcPr>
          <w:p>
            <w:pPr>
              <w:spacing w:line="276" w:lineRule="auto"/>
              <w:jc w:val="center"/>
            </w:pPr>
            <w:r>
              <w:rPr>
                <w:rFonts w:hint="eastAsia"/>
              </w:rPr>
              <w:t>802</w:t>
            </w:r>
          </w:p>
        </w:tc>
        <w:tc>
          <w:tcPr>
            <w:tcW w:w="886" w:type="dxa"/>
            <w:tcMar>
              <w:left w:w="28" w:type="dxa"/>
              <w:right w:w="28" w:type="dxa"/>
            </w:tcMar>
            <w:vAlign w:val="center"/>
          </w:tcPr>
          <w:p>
            <w:pPr>
              <w:spacing w:line="276" w:lineRule="auto"/>
              <w:jc w:val="center"/>
            </w:pPr>
            <w:r>
              <w:rPr>
                <w:rFonts w:hint="eastAsia"/>
              </w:rPr>
              <w:t>997</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1813</w:t>
            </w:r>
          </w:p>
        </w:tc>
        <w:tc>
          <w:tcPr>
            <w:tcW w:w="886" w:type="dxa"/>
            <w:tcMar>
              <w:left w:w="28" w:type="dxa"/>
              <w:right w:w="28" w:type="dxa"/>
            </w:tcMar>
            <w:vAlign w:val="center"/>
          </w:tcPr>
          <w:p>
            <w:pPr>
              <w:spacing w:line="276" w:lineRule="auto"/>
              <w:jc w:val="center"/>
            </w:pPr>
            <w:r>
              <w:rPr>
                <w:rFonts w:hint="eastAsia"/>
              </w:rPr>
              <w:t>2257</w:t>
            </w:r>
          </w:p>
        </w:tc>
        <w:tc>
          <w:tcPr>
            <w:tcW w:w="886" w:type="dxa"/>
            <w:tcMar>
              <w:left w:w="28" w:type="dxa"/>
              <w:right w:w="28" w:type="dxa"/>
            </w:tcMar>
            <w:vAlign w:val="center"/>
          </w:tcPr>
          <w:p>
            <w:pPr>
              <w:spacing w:line="276" w:lineRule="auto"/>
              <w:jc w:val="center"/>
            </w:pPr>
            <w:r>
              <w:rPr>
                <w:rFonts w:hint="eastAsia"/>
              </w:rPr>
              <w:t>2067</w:t>
            </w:r>
          </w:p>
        </w:tc>
        <w:tc>
          <w:tcPr>
            <w:tcW w:w="886" w:type="dxa"/>
            <w:tcMar>
              <w:left w:w="28" w:type="dxa"/>
              <w:right w:w="28" w:type="dxa"/>
            </w:tcMar>
            <w:vAlign w:val="center"/>
          </w:tcPr>
          <w:p>
            <w:pPr>
              <w:jc w:val="center"/>
              <w:rPr>
                <w:szCs w:val="21"/>
              </w:rPr>
            </w:pPr>
            <w:r>
              <w:rPr>
                <w:rFonts w:hint="eastAsia"/>
                <w:szCs w:val="21"/>
              </w:rPr>
              <w:t>/</w:t>
            </w:r>
          </w:p>
        </w:tc>
        <w:tc>
          <w:tcPr>
            <w:tcW w:w="708" w:type="dxa"/>
            <w:tcMar>
              <w:left w:w="28" w:type="dxa"/>
              <w:right w:w="28" w:type="dxa"/>
            </w:tcMar>
            <w:vAlign w:val="center"/>
          </w:tcPr>
          <w:p>
            <w:pPr>
              <w:jc w:val="center"/>
              <w:rPr>
                <w:szCs w:val="21"/>
              </w:rPr>
            </w:pPr>
            <w:r>
              <w:rPr>
                <w:rFonts w:hint="eastAsia"/>
                <w:szCs w:val="21"/>
              </w:rPr>
              <w:t>/</w:t>
            </w:r>
          </w:p>
        </w:tc>
        <w:tc>
          <w:tcPr>
            <w:tcW w:w="1039" w:type="dxa"/>
            <w:tcMar>
              <w:left w:w="28" w:type="dxa"/>
              <w:right w:w="28" w:type="dxa"/>
            </w:tcMar>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restart"/>
            <w:tcMar>
              <w:left w:w="28" w:type="dxa"/>
              <w:right w:w="28" w:type="dxa"/>
            </w:tcMar>
            <w:vAlign w:val="center"/>
          </w:tcPr>
          <w:p>
            <w:pPr>
              <w:jc w:val="center"/>
              <w:rPr>
                <w:szCs w:val="21"/>
              </w:rPr>
            </w:pPr>
            <w:r>
              <w:rPr>
                <w:rFonts w:hint="eastAsia"/>
                <w:szCs w:val="21"/>
              </w:rPr>
              <w:t>非甲烷总烃</w:t>
            </w:r>
          </w:p>
        </w:tc>
        <w:tc>
          <w:tcPr>
            <w:tcW w:w="714" w:type="dxa"/>
            <w:tcMar>
              <w:left w:w="28" w:type="dxa"/>
              <w:right w:w="28" w:type="dxa"/>
            </w:tcMar>
            <w:vAlign w:val="center"/>
          </w:tcPr>
          <w:p>
            <w:pPr>
              <w:jc w:val="center"/>
              <w:rPr>
                <w:szCs w:val="21"/>
              </w:rPr>
            </w:pPr>
            <w:r>
              <w:rPr>
                <w:szCs w:val="21"/>
              </w:rPr>
              <w:t>排放</w:t>
            </w:r>
          </w:p>
          <w:p>
            <w:pPr>
              <w:jc w:val="center"/>
              <w:rPr>
                <w:szCs w:val="21"/>
              </w:rPr>
            </w:pPr>
            <w:r>
              <w:rPr>
                <w:szCs w:val="21"/>
              </w:rPr>
              <w:t>浓度</w:t>
            </w:r>
          </w:p>
        </w:tc>
        <w:tc>
          <w:tcPr>
            <w:tcW w:w="886" w:type="dxa"/>
            <w:tcMar>
              <w:left w:w="28" w:type="dxa"/>
              <w:right w:w="28" w:type="dxa"/>
            </w:tcMar>
            <w:vAlign w:val="center"/>
          </w:tcPr>
          <w:p>
            <w:pPr>
              <w:spacing w:line="276" w:lineRule="auto"/>
              <w:jc w:val="center"/>
            </w:pPr>
            <w:r>
              <w:rPr>
                <w:rFonts w:hint="eastAsia"/>
              </w:rPr>
              <w:t>4.11</w:t>
            </w:r>
          </w:p>
        </w:tc>
        <w:tc>
          <w:tcPr>
            <w:tcW w:w="886" w:type="dxa"/>
            <w:tcMar>
              <w:left w:w="28" w:type="dxa"/>
              <w:right w:w="28" w:type="dxa"/>
            </w:tcMar>
            <w:vAlign w:val="center"/>
          </w:tcPr>
          <w:p>
            <w:pPr>
              <w:spacing w:line="276" w:lineRule="auto"/>
              <w:jc w:val="center"/>
            </w:pPr>
            <w:r>
              <w:rPr>
                <w:rFonts w:hint="eastAsia"/>
              </w:rPr>
              <w:t>3.97</w:t>
            </w:r>
          </w:p>
        </w:tc>
        <w:tc>
          <w:tcPr>
            <w:tcW w:w="886" w:type="dxa"/>
            <w:tcMar>
              <w:left w:w="28" w:type="dxa"/>
              <w:right w:w="28" w:type="dxa"/>
            </w:tcMar>
            <w:vAlign w:val="center"/>
          </w:tcPr>
          <w:p>
            <w:pPr>
              <w:spacing w:line="276" w:lineRule="auto"/>
              <w:jc w:val="center"/>
            </w:pPr>
            <w:r>
              <w:rPr>
                <w:rFonts w:hint="eastAsia"/>
              </w:rPr>
              <w:t>4.34</w:t>
            </w:r>
          </w:p>
        </w:tc>
        <w:tc>
          <w:tcPr>
            <w:tcW w:w="858" w:type="dxa"/>
            <w:tcMar>
              <w:left w:w="28" w:type="dxa"/>
              <w:right w:w="28" w:type="dxa"/>
            </w:tcMar>
            <w:vAlign w:val="center"/>
          </w:tcPr>
          <w:p>
            <w:pPr>
              <w:jc w:val="center"/>
              <w:rPr>
                <w:szCs w:val="21"/>
              </w:rPr>
            </w:pPr>
            <w:r>
              <w:rPr>
                <w:rFonts w:hint="eastAsia"/>
                <w:szCs w:val="21"/>
              </w:rPr>
              <w:t>4.14</w:t>
            </w:r>
          </w:p>
        </w:tc>
        <w:tc>
          <w:tcPr>
            <w:tcW w:w="914" w:type="dxa"/>
            <w:tcMar>
              <w:left w:w="28" w:type="dxa"/>
              <w:right w:w="28" w:type="dxa"/>
            </w:tcMar>
            <w:vAlign w:val="center"/>
          </w:tcPr>
          <w:p>
            <w:pPr>
              <w:spacing w:line="276" w:lineRule="auto"/>
              <w:jc w:val="center"/>
            </w:pPr>
            <w:r>
              <w:rPr>
                <w:rFonts w:hint="eastAsia"/>
              </w:rPr>
              <w:t>3.07</w:t>
            </w:r>
          </w:p>
        </w:tc>
        <w:tc>
          <w:tcPr>
            <w:tcW w:w="886" w:type="dxa"/>
            <w:tcMar>
              <w:left w:w="28" w:type="dxa"/>
              <w:right w:w="28" w:type="dxa"/>
            </w:tcMar>
            <w:vAlign w:val="center"/>
          </w:tcPr>
          <w:p>
            <w:pPr>
              <w:spacing w:line="276" w:lineRule="auto"/>
              <w:jc w:val="center"/>
            </w:pPr>
            <w:r>
              <w:rPr>
                <w:rFonts w:hint="eastAsia"/>
              </w:rPr>
              <w:t>2.74</w:t>
            </w:r>
          </w:p>
        </w:tc>
        <w:tc>
          <w:tcPr>
            <w:tcW w:w="886" w:type="dxa"/>
            <w:tcMar>
              <w:left w:w="28" w:type="dxa"/>
              <w:right w:w="28" w:type="dxa"/>
            </w:tcMar>
            <w:vAlign w:val="center"/>
          </w:tcPr>
          <w:p>
            <w:pPr>
              <w:spacing w:line="276" w:lineRule="auto"/>
              <w:jc w:val="center"/>
            </w:pPr>
            <w:r>
              <w:rPr>
                <w:rFonts w:hint="eastAsia"/>
              </w:rPr>
              <w:t>2.63</w:t>
            </w:r>
          </w:p>
        </w:tc>
        <w:tc>
          <w:tcPr>
            <w:tcW w:w="886" w:type="dxa"/>
            <w:tcMar>
              <w:left w:w="28" w:type="dxa"/>
              <w:right w:w="28" w:type="dxa"/>
            </w:tcMar>
            <w:vAlign w:val="center"/>
          </w:tcPr>
          <w:p>
            <w:pPr>
              <w:jc w:val="center"/>
              <w:rPr>
                <w:szCs w:val="21"/>
              </w:rPr>
            </w:pPr>
            <w:r>
              <w:rPr>
                <w:rFonts w:hint="eastAsia"/>
                <w:szCs w:val="21"/>
              </w:rPr>
              <w:t>2.81</w:t>
            </w:r>
          </w:p>
        </w:tc>
        <w:tc>
          <w:tcPr>
            <w:tcW w:w="886" w:type="dxa"/>
            <w:tcMar>
              <w:left w:w="28" w:type="dxa"/>
              <w:right w:w="28" w:type="dxa"/>
            </w:tcMar>
            <w:vAlign w:val="center"/>
          </w:tcPr>
          <w:p>
            <w:pPr>
              <w:spacing w:line="276" w:lineRule="auto"/>
              <w:jc w:val="center"/>
            </w:pPr>
            <w:r>
              <w:rPr>
                <w:rFonts w:hint="eastAsia"/>
              </w:rPr>
              <w:t>0.43</w:t>
            </w:r>
          </w:p>
        </w:tc>
        <w:tc>
          <w:tcPr>
            <w:tcW w:w="886" w:type="dxa"/>
            <w:tcMar>
              <w:left w:w="28" w:type="dxa"/>
              <w:right w:w="28" w:type="dxa"/>
            </w:tcMar>
            <w:vAlign w:val="center"/>
          </w:tcPr>
          <w:p>
            <w:pPr>
              <w:spacing w:line="276" w:lineRule="auto"/>
              <w:jc w:val="center"/>
            </w:pPr>
            <w:r>
              <w:rPr>
                <w:rFonts w:hint="eastAsia"/>
              </w:rPr>
              <w:t>0.41</w:t>
            </w:r>
          </w:p>
        </w:tc>
        <w:tc>
          <w:tcPr>
            <w:tcW w:w="886" w:type="dxa"/>
            <w:tcMar>
              <w:left w:w="28" w:type="dxa"/>
              <w:right w:w="28" w:type="dxa"/>
            </w:tcMar>
            <w:vAlign w:val="center"/>
          </w:tcPr>
          <w:p>
            <w:pPr>
              <w:spacing w:line="276" w:lineRule="auto"/>
              <w:jc w:val="center"/>
            </w:pPr>
            <w:r>
              <w:rPr>
                <w:rFonts w:hint="eastAsia"/>
              </w:rPr>
              <w:t>0.53</w:t>
            </w:r>
          </w:p>
        </w:tc>
        <w:tc>
          <w:tcPr>
            <w:tcW w:w="886" w:type="dxa"/>
            <w:tcMar>
              <w:left w:w="28" w:type="dxa"/>
              <w:right w:w="28" w:type="dxa"/>
            </w:tcMar>
            <w:vAlign w:val="center"/>
          </w:tcPr>
          <w:p>
            <w:pPr>
              <w:jc w:val="center"/>
              <w:rPr>
                <w:szCs w:val="21"/>
              </w:rPr>
            </w:pPr>
            <w:r>
              <w:rPr>
                <w:rFonts w:hint="eastAsia"/>
                <w:szCs w:val="21"/>
              </w:rPr>
              <w:t>0.46</w:t>
            </w:r>
          </w:p>
        </w:tc>
        <w:tc>
          <w:tcPr>
            <w:tcW w:w="708" w:type="dxa"/>
            <w:vMerge w:val="restart"/>
            <w:tcMar>
              <w:left w:w="28" w:type="dxa"/>
              <w:right w:w="28" w:type="dxa"/>
            </w:tcMar>
            <w:vAlign w:val="center"/>
          </w:tcPr>
          <w:p>
            <w:pPr>
              <w:jc w:val="center"/>
              <w:rPr>
                <w:kern w:val="0"/>
                <w:szCs w:val="21"/>
              </w:rPr>
            </w:pPr>
            <w:r>
              <w:rPr>
                <w:rFonts w:hint="eastAsia"/>
                <w:kern w:val="0"/>
                <w:szCs w:val="21"/>
              </w:rPr>
              <w:t>87.5</w:t>
            </w:r>
          </w:p>
        </w:tc>
        <w:tc>
          <w:tcPr>
            <w:tcW w:w="1039" w:type="dxa"/>
            <w:tcMar>
              <w:left w:w="28" w:type="dxa"/>
              <w:right w:w="28" w:type="dxa"/>
            </w:tcMar>
            <w:vAlign w:val="center"/>
          </w:tcPr>
          <w:p>
            <w:pPr>
              <w:jc w:val="center"/>
              <w:rPr>
                <w:kern w:val="0"/>
                <w:szCs w:val="21"/>
              </w:rPr>
            </w:pPr>
            <w:r>
              <w:rPr>
                <w:rFonts w:hint="eastAsia"/>
                <w:kern w:val="0"/>
                <w:szCs w:val="21"/>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continue"/>
            <w:tcMar>
              <w:left w:w="28" w:type="dxa"/>
              <w:right w:w="28" w:type="dxa"/>
            </w:tcMar>
            <w:vAlign w:val="center"/>
          </w:tcPr>
          <w:p>
            <w:pPr>
              <w:jc w:val="center"/>
              <w:rPr>
                <w:szCs w:val="21"/>
              </w:rPr>
            </w:pPr>
          </w:p>
        </w:tc>
        <w:tc>
          <w:tcPr>
            <w:tcW w:w="714" w:type="dxa"/>
            <w:tcMar>
              <w:left w:w="28" w:type="dxa"/>
              <w:right w:w="28" w:type="dxa"/>
            </w:tcMar>
            <w:vAlign w:val="center"/>
          </w:tcPr>
          <w:p>
            <w:pPr>
              <w:jc w:val="center"/>
              <w:rPr>
                <w:szCs w:val="21"/>
              </w:rPr>
            </w:pPr>
            <w:r>
              <w:rPr>
                <w:szCs w:val="21"/>
              </w:rPr>
              <w:t>排放</w:t>
            </w:r>
          </w:p>
          <w:p>
            <w:pPr>
              <w:jc w:val="center"/>
              <w:rPr>
                <w:szCs w:val="21"/>
              </w:rPr>
            </w:pPr>
            <w:r>
              <w:rPr>
                <w:szCs w:val="21"/>
              </w:rPr>
              <w:t>速率</w:t>
            </w:r>
          </w:p>
        </w:tc>
        <w:tc>
          <w:tcPr>
            <w:tcW w:w="886" w:type="dxa"/>
            <w:tcMar>
              <w:left w:w="28" w:type="dxa"/>
              <w:right w:w="28" w:type="dxa"/>
            </w:tcMar>
            <w:vAlign w:val="center"/>
          </w:tcPr>
          <w:p>
            <w:pPr>
              <w:spacing w:line="276" w:lineRule="auto"/>
              <w:jc w:val="center"/>
              <w:rPr>
                <w:sz w:val="18"/>
              </w:rPr>
            </w:pPr>
            <w:r>
              <w:rPr>
                <w:rFonts w:hint="eastAsia"/>
                <w:sz w:val="18"/>
              </w:rPr>
              <w:t>4.05×10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5.72×10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6.21×10</w:t>
            </w:r>
            <w:r>
              <w:rPr>
                <w:rFonts w:hint="eastAsia"/>
                <w:sz w:val="18"/>
                <w:vertAlign w:val="superscript"/>
              </w:rPr>
              <w:t>-3</w:t>
            </w:r>
          </w:p>
        </w:tc>
        <w:tc>
          <w:tcPr>
            <w:tcW w:w="858" w:type="dxa"/>
            <w:tcMar>
              <w:left w:w="28" w:type="dxa"/>
              <w:right w:w="28" w:type="dxa"/>
            </w:tcMar>
            <w:vAlign w:val="center"/>
          </w:tcPr>
          <w:p>
            <w:pPr>
              <w:jc w:val="center"/>
              <w:rPr>
                <w:sz w:val="18"/>
                <w:szCs w:val="21"/>
              </w:rPr>
            </w:pPr>
            <w:r>
              <w:rPr>
                <w:rFonts w:hint="eastAsia"/>
                <w:sz w:val="18"/>
                <w:szCs w:val="21"/>
              </w:rPr>
              <w:t>5.33</w:t>
            </w:r>
            <w:r>
              <w:rPr>
                <w:rFonts w:hint="eastAsia"/>
                <w:sz w:val="18"/>
              </w:rPr>
              <w:t>×10</w:t>
            </w:r>
            <w:r>
              <w:rPr>
                <w:rFonts w:hint="eastAsia"/>
                <w:sz w:val="18"/>
                <w:vertAlign w:val="superscript"/>
              </w:rPr>
              <w:t>-3</w:t>
            </w:r>
          </w:p>
        </w:tc>
        <w:tc>
          <w:tcPr>
            <w:tcW w:w="914" w:type="dxa"/>
            <w:tcMar>
              <w:left w:w="28" w:type="dxa"/>
              <w:right w:w="28" w:type="dxa"/>
            </w:tcMar>
            <w:vAlign w:val="center"/>
          </w:tcPr>
          <w:p>
            <w:pPr>
              <w:spacing w:line="276" w:lineRule="auto"/>
              <w:jc w:val="center"/>
              <w:rPr>
                <w:sz w:val="18"/>
              </w:rPr>
            </w:pPr>
            <w:r>
              <w:rPr>
                <w:rFonts w:hint="eastAsia"/>
                <w:sz w:val="18"/>
              </w:rPr>
              <w:t>1.59×10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2.20×10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2.62×10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2.14</w:t>
            </w:r>
            <w:r>
              <w:rPr>
                <w:rFonts w:hint="eastAsia"/>
                <w:sz w:val="18"/>
              </w:rPr>
              <w:t>×10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7.80×10</w:t>
            </w:r>
            <w:r>
              <w:rPr>
                <w:rFonts w:hint="eastAsia"/>
                <w:sz w:val="18"/>
                <w:vertAlign w:val="superscript"/>
              </w:rPr>
              <w:t>-4</w:t>
            </w:r>
          </w:p>
        </w:tc>
        <w:tc>
          <w:tcPr>
            <w:tcW w:w="886" w:type="dxa"/>
            <w:tcMar>
              <w:left w:w="28" w:type="dxa"/>
              <w:right w:w="28" w:type="dxa"/>
            </w:tcMar>
            <w:vAlign w:val="center"/>
          </w:tcPr>
          <w:p>
            <w:pPr>
              <w:spacing w:line="276" w:lineRule="auto"/>
              <w:jc w:val="center"/>
              <w:rPr>
                <w:sz w:val="18"/>
              </w:rPr>
            </w:pPr>
            <w:r>
              <w:rPr>
                <w:rFonts w:hint="eastAsia"/>
                <w:sz w:val="18"/>
              </w:rPr>
              <w:t>9.25×10</w:t>
            </w:r>
            <w:r>
              <w:rPr>
                <w:rFonts w:hint="eastAsia"/>
                <w:sz w:val="18"/>
                <w:vertAlign w:val="superscript"/>
              </w:rPr>
              <w:t>-4</w:t>
            </w:r>
          </w:p>
        </w:tc>
        <w:tc>
          <w:tcPr>
            <w:tcW w:w="886" w:type="dxa"/>
            <w:tcMar>
              <w:left w:w="28" w:type="dxa"/>
              <w:right w:w="28" w:type="dxa"/>
            </w:tcMar>
            <w:vAlign w:val="center"/>
          </w:tcPr>
          <w:p>
            <w:pPr>
              <w:spacing w:line="276" w:lineRule="auto"/>
              <w:jc w:val="center"/>
              <w:rPr>
                <w:sz w:val="18"/>
              </w:rPr>
            </w:pPr>
            <w:r>
              <w:rPr>
                <w:rFonts w:hint="eastAsia"/>
                <w:sz w:val="18"/>
              </w:rPr>
              <w:t>1.10×10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9.35</w:t>
            </w:r>
            <w:r>
              <w:rPr>
                <w:rFonts w:hint="eastAsia"/>
                <w:sz w:val="18"/>
              </w:rPr>
              <w:t>×10</w:t>
            </w:r>
            <w:r>
              <w:rPr>
                <w:rFonts w:hint="eastAsia"/>
                <w:sz w:val="18"/>
                <w:vertAlign w:val="superscript"/>
              </w:rPr>
              <w:t>-4</w:t>
            </w:r>
          </w:p>
        </w:tc>
        <w:tc>
          <w:tcPr>
            <w:tcW w:w="708" w:type="dxa"/>
            <w:vMerge w:val="continue"/>
            <w:tcMar>
              <w:left w:w="28" w:type="dxa"/>
              <w:right w:w="28" w:type="dxa"/>
            </w:tcMar>
            <w:vAlign w:val="center"/>
          </w:tcPr>
          <w:p>
            <w:pPr>
              <w:jc w:val="center"/>
              <w:rPr>
                <w:szCs w:val="21"/>
              </w:rPr>
            </w:pPr>
          </w:p>
        </w:tc>
        <w:tc>
          <w:tcPr>
            <w:tcW w:w="1039" w:type="dxa"/>
            <w:tcMar>
              <w:left w:w="28" w:type="dxa"/>
              <w:right w:w="28" w:type="dxa"/>
            </w:tcMar>
            <w:vAlign w:val="center"/>
          </w:tcPr>
          <w:p>
            <w:pPr>
              <w:jc w:val="center"/>
              <w:rPr>
                <w:kern w:val="0"/>
                <w:szCs w:val="21"/>
              </w:rPr>
            </w:pPr>
            <w:r>
              <w:rPr>
                <w:rFonts w:hint="eastAsia"/>
                <w:kern w:val="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737" w:hRule="atLeast"/>
          <w:jc w:val="center"/>
        </w:trPr>
        <w:tc>
          <w:tcPr>
            <w:tcW w:w="1553" w:type="dxa"/>
            <w:gridSpan w:val="2"/>
            <w:tcBorders>
              <w:bottom w:val="single" w:color="auto" w:sz="12" w:space="0"/>
            </w:tcBorders>
            <w:tcMar>
              <w:left w:w="28" w:type="dxa"/>
              <w:right w:w="28" w:type="dxa"/>
            </w:tcMar>
            <w:vAlign w:val="center"/>
          </w:tcPr>
          <w:p>
            <w:pPr>
              <w:ind w:left="-153" w:leftChars="-73"/>
              <w:jc w:val="center"/>
              <w:rPr>
                <w:szCs w:val="21"/>
              </w:rPr>
            </w:pPr>
            <w:r>
              <w:rPr>
                <w:szCs w:val="21"/>
              </w:rPr>
              <w:t>备注</w:t>
            </w:r>
          </w:p>
        </w:tc>
        <w:tc>
          <w:tcPr>
            <w:tcW w:w="13796" w:type="dxa"/>
            <w:gridSpan w:val="16"/>
            <w:tcBorders>
              <w:bottom w:val="single" w:color="auto" w:sz="12" w:space="0"/>
            </w:tcBorders>
            <w:tcMar>
              <w:left w:w="28" w:type="dxa"/>
              <w:right w:w="28" w:type="dxa"/>
            </w:tcMar>
            <w:vAlign w:val="center"/>
          </w:tcPr>
          <w:p>
            <w:pPr>
              <w:jc w:val="center"/>
              <w:rPr>
                <w:kern w:val="0"/>
                <w:szCs w:val="21"/>
              </w:rPr>
            </w:pPr>
            <w:r>
              <w:rPr>
                <w:rFonts w:hint="eastAsia"/>
                <w:kern w:val="0"/>
                <w:szCs w:val="21"/>
              </w:rPr>
              <w:t>/</w:t>
            </w:r>
          </w:p>
        </w:tc>
      </w:tr>
    </w:tbl>
    <w:p>
      <w:pPr>
        <w:ind w:firstLine="5985" w:firstLineChars="2484"/>
        <w:jc w:val="left"/>
        <w:rPr>
          <w:b/>
          <w:sz w:val="24"/>
        </w:rPr>
      </w:pPr>
    </w:p>
    <w:p>
      <w:pPr>
        <w:widowControl/>
        <w:jc w:val="left"/>
        <w:rPr>
          <w:sz w:val="24"/>
        </w:rPr>
      </w:pPr>
      <w:r>
        <w:rPr>
          <w:sz w:val="24"/>
        </w:rPr>
        <w:t xml:space="preserve">续表八                                      </w:t>
      </w:r>
      <w:r>
        <w:rPr>
          <w:b/>
          <w:bCs/>
          <w:sz w:val="24"/>
        </w:rPr>
        <w:t>表8-2  有组织废气监测结果表</w:t>
      </w:r>
      <w:r>
        <w:rPr>
          <w:rFonts w:hint="eastAsia"/>
          <w:b/>
          <w:bCs/>
          <w:sz w:val="24"/>
        </w:rPr>
        <w:t>（二）</w:t>
      </w:r>
    </w:p>
    <w:tbl>
      <w:tblPr>
        <w:tblStyle w:val="18"/>
        <w:tblW w:w="1534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86"/>
        <w:gridCol w:w="567"/>
        <w:gridCol w:w="703"/>
        <w:gridCol w:w="714"/>
        <w:gridCol w:w="886"/>
        <w:gridCol w:w="886"/>
        <w:gridCol w:w="886"/>
        <w:gridCol w:w="886"/>
        <w:gridCol w:w="886"/>
        <w:gridCol w:w="886"/>
        <w:gridCol w:w="886"/>
        <w:gridCol w:w="886"/>
        <w:gridCol w:w="886"/>
        <w:gridCol w:w="886"/>
        <w:gridCol w:w="886"/>
        <w:gridCol w:w="886"/>
        <w:gridCol w:w="708"/>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restart"/>
            <w:tcBorders>
              <w:top w:val="single" w:color="auto" w:sz="12" w:space="0"/>
            </w:tcBorders>
            <w:tcMar>
              <w:left w:w="28" w:type="dxa"/>
              <w:right w:w="28" w:type="dxa"/>
            </w:tcMar>
            <w:vAlign w:val="center"/>
          </w:tcPr>
          <w:p>
            <w:pPr>
              <w:ind w:left="-141" w:leftChars="-67" w:right="-107" w:rightChars="-51"/>
              <w:jc w:val="center"/>
              <w:rPr>
                <w:b/>
                <w:bCs/>
                <w:szCs w:val="21"/>
              </w:rPr>
            </w:pPr>
            <w:r>
              <w:rPr>
                <w:b/>
                <w:bCs/>
                <w:szCs w:val="21"/>
              </w:rPr>
              <w:t>监测日期</w:t>
            </w:r>
          </w:p>
        </w:tc>
        <w:tc>
          <w:tcPr>
            <w:tcW w:w="567" w:type="dxa"/>
            <w:vMerge w:val="restart"/>
            <w:tcBorders>
              <w:top w:val="single" w:color="auto" w:sz="12" w:space="0"/>
            </w:tcBorders>
            <w:tcMar>
              <w:left w:w="28" w:type="dxa"/>
              <w:right w:w="28" w:type="dxa"/>
            </w:tcMar>
            <w:vAlign w:val="center"/>
          </w:tcPr>
          <w:p>
            <w:pPr>
              <w:ind w:left="-107" w:leftChars="-51" w:right="-118" w:rightChars="-56"/>
              <w:jc w:val="center"/>
              <w:rPr>
                <w:b/>
                <w:bCs/>
                <w:szCs w:val="21"/>
              </w:rPr>
            </w:pPr>
            <w:r>
              <w:rPr>
                <w:b/>
                <w:bCs/>
                <w:szCs w:val="21"/>
              </w:rPr>
              <w:t>监测</w:t>
            </w:r>
          </w:p>
          <w:p>
            <w:pPr>
              <w:ind w:left="-107" w:leftChars="-51" w:right="-118" w:rightChars="-56"/>
              <w:jc w:val="center"/>
              <w:rPr>
                <w:b/>
                <w:bCs/>
                <w:szCs w:val="21"/>
              </w:rPr>
            </w:pPr>
            <w:r>
              <w:rPr>
                <w:b/>
                <w:bCs/>
                <w:szCs w:val="21"/>
              </w:rPr>
              <w:t>点位</w:t>
            </w:r>
          </w:p>
        </w:tc>
        <w:tc>
          <w:tcPr>
            <w:tcW w:w="1417" w:type="dxa"/>
            <w:gridSpan w:val="2"/>
            <w:vMerge w:val="restart"/>
            <w:tcBorders>
              <w:top w:val="single" w:color="auto" w:sz="12" w:space="0"/>
            </w:tcBorders>
            <w:tcMar>
              <w:left w:w="28" w:type="dxa"/>
              <w:right w:w="28" w:type="dxa"/>
            </w:tcMar>
            <w:vAlign w:val="center"/>
          </w:tcPr>
          <w:p>
            <w:pPr>
              <w:jc w:val="center"/>
              <w:rPr>
                <w:b/>
                <w:bCs/>
                <w:szCs w:val="21"/>
              </w:rPr>
            </w:pPr>
            <w:r>
              <w:rPr>
                <w:b/>
                <w:bCs/>
                <w:szCs w:val="21"/>
              </w:rPr>
              <w:t>监测项目</w:t>
            </w:r>
          </w:p>
        </w:tc>
        <w:tc>
          <w:tcPr>
            <w:tcW w:w="10632" w:type="dxa"/>
            <w:gridSpan w:val="12"/>
            <w:tcBorders>
              <w:top w:val="single" w:color="auto" w:sz="12" w:space="0"/>
            </w:tcBorders>
            <w:tcMar>
              <w:left w:w="28" w:type="dxa"/>
              <w:right w:w="28" w:type="dxa"/>
            </w:tcMar>
            <w:vAlign w:val="center"/>
          </w:tcPr>
          <w:p>
            <w:pPr>
              <w:jc w:val="center"/>
              <w:rPr>
                <w:b/>
                <w:bCs/>
                <w:szCs w:val="21"/>
              </w:rPr>
            </w:pPr>
            <w:r>
              <w:rPr>
                <w:b/>
                <w:bCs/>
                <w:szCs w:val="21"/>
              </w:rPr>
              <w:t>监测结果（流量：m</w:t>
            </w:r>
            <w:r>
              <w:rPr>
                <w:b/>
                <w:bCs/>
                <w:szCs w:val="21"/>
                <w:vertAlign w:val="superscript"/>
              </w:rPr>
              <w:t>3</w:t>
            </w:r>
            <w:r>
              <w:rPr>
                <w:b/>
                <w:bCs/>
                <w:szCs w:val="21"/>
              </w:rPr>
              <w:t>/h；浓度：mg/m</w:t>
            </w:r>
            <w:r>
              <w:rPr>
                <w:b/>
                <w:bCs/>
                <w:szCs w:val="21"/>
                <w:vertAlign w:val="superscript"/>
              </w:rPr>
              <w:t>3</w:t>
            </w:r>
            <w:r>
              <w:rPr>
                <w:b/>
                <w:bCs/>
                <w:szCs w:val="21"/>
              </w:rPr>
              <w:t>；速率：kg/ h）</w:t>
            </w:r>
          </w:p>
        </w:tc>
        <w:tc>
          <w:tcPr>
            <w:tcW w:w="708" w:type="dxa"/>
            <w:vMerge w:val="restart"/>
            <w:tcBorders>
              <w:top w:val="single" w:color="auto" w:sz="12" w:space="0"/>
            </w:tcBorders>
            <w:tcMar>
              <w:left w:w="28" w:type="dxa"/>
              <w:right w:w="28" w:type="dxa"/>
            </w:tcMar>
            <w:vAlign w:val="center"/>
          </w:tcPr>
          <w:p>
            <w:pPr>
              <w:jc w:val="center"/>
              <w:rPr>
                <w:b/>
                <w:bCs/>
                <w:szCs w:val="21"/>
              </w:rPr>
            </w:pPr>
            <w:r>
              <w:rPr>
                <w:b/>
                <w:bCs/>
                <w:szCs w:val="21"/>
              </w:rPr>
              <w:t>处理效率（%）</w:t>
            </w:r>
          </w:p>
        </w:tc>
        <w:tc>
          <w:tcPr>
            <w:tcW w:w="1039" w:type="dxa"/>
            <w:vMerge w:val="restart"/>
            <w:tcBorders>
              <w:top w:val="single" w:color="auto" w:sz="12" w:space="0"/>
            </w:tcBorders>
            <w:tcMar>
              <w:left w:w="28" w:type="dxa"/>
              <w:right w:w="28" w:type="dxa"/>
            </w:tcMar>
            <w:vAlign w:val="center"/>
          </w:tcPr>
          <w:p>
            <w:pPr>
              <w:jc w:val="center"/>
              <w:rPr>
                <w:b/>
                <w:bCs/>
                <w:szCs w:val="21"/>
              </w:rPr>
            </w:pPr>
            <w:r>
              <w:rPr>
                <w:b/>
                <w:bCs/>
                <w:szCs w:val="21"/>
              </w:rPr>
              <w:t>执行标准（浓度：mg/m</w:t>
            </w:r>
            <w:r>
              <w:rPr>
                <w:b/>
                <w:bCs/>
                <w:szCs w:val="21"/>
                <w:vertAlign w:val="superscript"/>
              </w:rPr>
              <w:t>3</w:t>
            </w:r>
            <w:r>
              <w:rPr>
                <w:b/>
                <w:bCs/>
                <w:szCs w:val="21"/>
              </w:rPr>
              <w:t>；速率：kg/ 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Borders>
              <w:top w:val="single" w:color="auto" w:sz="12" w:space="0"/>
            </w:tcBorders>
            <w:tcMar>
              <w:left w:w="28" w:type="dxa"/>
              <w:right w:w="28" w:type="dxa"/>
            </w:tcMar>
            <w:vAlign w:val="center"/>
          </w:tcPr>
          <w:p>
            <w:pPr>
              <w:jc w:val="center"/>
              <w:rPr>
                <w:szCs w:val="21"/>
              </w:rPr>
            </w:pPr>
          </w:p>
        </w:tc>
        <w:tc>
          <w:tcPr>
            <w:tcW w:w="567" w:type="dxa"/>
            <w:vMerge w:val="continue"/>
            <w:tcBorders>
              <w:top w:val="single" w:color="auto" w:sz="12" w:space="0"/>
            </w:tcBorders>
            <w:tcMar>
              <w:left w:w="28" w:type="dxa"/>
              <w:right w:w="28" w:type="dxa"/>
            </w:tcMar>
            <w:vAlign w:val="center"/>
          </w:tcPr>
          <w:p>
            <w:pPr>
              <w:jc w:val="center"/>
              <w:rPr>
                <w:szCs w:val="21"/>
              </w:rPr>
            </w:pPr>
          </w:p>
        </w:tc>
        <w:tc>
          <w:tcPr>
            <w:tcW w:w="1417" w:type="dxa"/>
            <w:gridSpan w:val="2"/>
            <w:vMerge w:val="continue"/>
            <w:tcBorders>
              <w:top w:val="single" w:color="auto" w:sz="12" w:space="0"/>
            </w:tcBorders>
            <w:tcMar>
              <w:left w:w="28" w:type="dxa"/>
              <w:right w:w="28" w:type="dxa"/>
            </w:tcMar>
            <w:vAlign w:val="center"/>
          </w:tcPr>
          <w:p>
            <w:pPr>
              <w:jc w:val="center"/>
              <w:rPr>
                <w:szCs w:val="21"/>
              </w:rPr>
            </w:pPr>
          </w:p>
        </w:tc>
        <w:tc>
          <w:tcPr>
            <w:tcW w:w="3544"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处理装置处理前进口</w:t>
            </w:r>
            <w:r>
              <w:rPr>
                <w:rFonts w:hint="eastAsia"/>
                <w:b/>
                <w:bCs/>
                <w:szCs w:val="21"/>
              </w:rPr>
              <w:t>1</w:t>
            </w:r>
          </w:p>
        </w:tc>
        <w:tc>
          <w:tcPr>
            <w:tcW w:w="3544"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处理装置处理前进口</w:t>
            </w:r>
            <w:r>
              <w:rPr>
                <w:rFonts w:hint="eastAsia"/>
                <w:b/>
                <w:bCs/>
                <w:szCs w:val="21"/>
              </w:rPr>
              <w:t>2</w:t>
            </w:r>
          </w:p>
        </w:tc>
        <w:tc>
          <w:tcPr>
            <w:tcW w:w="3544" w:type="dxa"/>
            <w:gridSpan w:val="4"/>
            <w:tcBorders>
              <w:top w:val="single" w:color="auto" w:sz="4" w:space="0"/>
            </w:tcBorders>
            <w:tcMar>
              <w:left w:w="28" w:type="dxa"/>
              <w:right w:w="28" w:type="dxa"/>
            </w:tcMar>
            <w:vAlign w:val="center"/>
          </w:tcPr>
          <w:p>
            <w:pPr>
              <w:jc w:val="center"/>
              <w:rPr>
                <w:b/>
                <w:bCs/>
                <w:szCs w:val="21"/>
              </w:rPr>
            </w:pPr>
            <w:r>
              <w:rPr>
                <w:b/>
                <w:bCs/>
                <w:szCs w:val="21"/>
              </w:rPr>
              <w:t>处理装置处理后</w:t>
            </w:r>
          </w:p>
        </w:tc>
        <w:tc>
          <w:tcPr>
            <w:tcW w:w="708" w:type="dxa"/>
            <w:vMerge w:val="continue"/>
            <w:tcMar>
              <w:left w:w="28" w:type="dxa"/>
              <w:right w:w="28" w:type="dxa"/>
            </w:tcMar>
            <w:vAlign w:val="center"/>
          </w:tcPr>
          <w:p>
            <w:pPr>
              <w:jc w:val="center"/>
              <w:rPr>
                <w:szCs w:val="21"/>
              </w:rPr>
            </w:pPr>
          </w:p>
        </w:tc>
        <w:tc>
          <w:tcPr>
            <w:tcW w:w="1039" w:type="dxa"/>
            <w:vMerge w:val="continue"/>
            <w:tcMar>
              <w:left w:w="28" w:type="dxa"/>
              <w:right w:w="28" w:type="dxa"/>
            </w:tcMar>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jc w:val="center"/>
              <w:rPr>
                <w:szCs w:val="21"/>
              </w:rPr>
            </w:pPr>
          </w:p>
        </w:tc>
        <w:tc>
          <w:tcPr>
            <w:tcW w:w="1417" w:type="dxa"/>
            <w:gridSpan w:val="2"/>
            <w:vMerge w:val="continue"/>
            <w:tcMar>
              <w:left w:w="28" w:type="dxa"/>
              <w:right w:w="28" w:type="dxa"/>
            </w:tcMar>
            <w:vAlign w:val="center"/>
          </w:tcPr>
          <w:p>
            <w:pPr>
              <w:jc w:val="center"/>
              <w:rPr>
                <w:szCs w:val="21"/>
              </w:rPr>
            </w:pPr>
          </w:p>
        </w:tc>
        <w:tc>
          <w:tcPr>
            <w:tcW w:w="886"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86" w:type="dxa"/>
            <w:tcMar>
              <w:left w:w="28" w:type="dxa"/>
              <w:right w:w="28" w:type="dxa"/>
            </w:tcMar>
            <w:vAlign w:val="center"/>
          </w:tcPr>
          <w:p>
            <w:pPr>
              <w:jc w:val="center"/>
              <w:rPr>
                <w:b/>
                <w:bCs/>
                <w:szCs w:val="21"/>
              </w:rPr>
            </w:pPr>
            <w:r>
              <w:rPr>
                <w:b/>
                <w:bCs/>
                <w:szCs w:val="21"/>
              </w:rPr>
              <w:t>均值</w:t>
            </w:r>
          </w:p>
        </w:tc>
        <w:tc>
          <w:tcPr>
            <w:tcW w:w="886"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86" w:type="dxa"/>
            <w:tcMar>
              <w:left w:w="28" w:type="dxa"/>
              <w:right w:w="28" w:type="dxa"/>
            </w:tcMar>
            <w:vAlign w:val="center"/>
          </w:tcPr>
          <w:p>
            <w:pPr>
              <w:jc w:val="center"/>
              <w:rPr>
                <w:b/>
                <w:bCs/>
                <w:szCs w:val="21"/>
              </w:rPr>
            </w:pPr>
            <w:r>
              <w:rPr>
                <w:b/>
                <w:bCs/>
                <w:szCs w:val="21"/>
              </w:rPr>
              <w:t>均值</w:t>
            </w:r>
          </w:p>
        </w:tc>
        <w:tc>
          <w:tcPr>
            <w:tcW w:w="886" w:type="dxa"/>
            <w:tcMar>
              <w:left w:w="28" w:type="dxa"/>
              <w:right w:w="28" w:type="dxa"/>
            </w:tcMar>
            <w:vAlign w:val="center"/>
          </w:tcPr>
          <w:p>
            <w:pPr>
              <w:jc w:val="center"/>
              <w:rPr>
                <w:b/>
                <w:bCs/>
                <w:szCs w:val="21"/>
              </w:rPr>
            </w:pPr>
            <w:r>
              <w:rPr>
                <w:b/>
                <w:bCs/>
                <w:szCs w:val="21"/>
              </w:rPr>
              <w:t>第一次</w:t>
            </w:r>
          </w:p>
        </w:tc>
        <w:tc>
          <w:tcPr>
            <w:tcW w:w="886" w:type="dxa"/>
            <w:tcMar>
              <w:left w:w="28" w:type="dxa"/>
              <w:right w:w="28" w:type="dxa"/>
            </w:tcMar>
            <w:vAlign w:val="center"/>
          </w:tcPr>
          <w:p>
            <w:pPr>
              <w:jc w:val="center"/>
              <w:rPr>
                <w:b/>
                <w:bCs/>
                <w:szCs w:val="21"/>
              </w:rPr>
            </w:pPr>
            <w:r>
              <w:rPr>
                <w:b/>
                <w:bCs/>
                <w:szCs w:val="21"/>
              </w:rPr>
              <w:t>第二次</w:t>
            </w:r>
          </w:p>
        </w:tc>
        <w:tc>
          <w:tcPr>
            <w:tcW w:w="886" w:type="dxa"/>
            <w:tcMar>
              <w:left w:w="28" w:type="dxa"/>
              <w:right w:w="28" w:type="dxa"/>
            </w:tcMar>
            <w:vAlign w:val="center"/>
          </w:tcPr>
          <w:p>
            <w:pPr>
              <w:jc w:val="center"/>
              <w:rPr>
                <w:b/>
                <w:bCs/>
                <w:szCs w:val="21"/>
              </w:rPr>
            </w:pPr>
            <w:r>
              <w:rPr>
                <w:b/>
                <w:bCs/>
                <w:szCs w:val="21"/>
              </w:rPr>
              <w:t>第三次</w:t>
            </w:r>
          </w:p>
        </w:tc>
        <w:tc>
          <w:tcPr>
            <w:tcW w:w="886" w:type="dxa"/>
            <w:tcMar>
              <w:left w:w="28" w:type="dxa"/>
              <w:right w:w="28" w:type="dxa"/>
            </w:tcMar>
            <w:vAlign w:val="center"/>
          </w:tcPr>
          <w:p>
            <w:pPr>
              <w:jc w:val="center"/>
              <w:rPr>
                <w:b/>
                <w:bCs/>
                <w:szCs w:val="21"/>
              </w:rPr>
            </w:pPr>
            <w:r>
              <w:rPr>
                <w:b/>
                <w:bCs/>
                <w:szCs w:val="21"/>
              </w:rPr>
              <w:t>均值</w:t>
            </w:r>
          </w:p>
        </w:tc>
        <w:tc>
          <w:tcPr>
            <w:tcW w:w="708" w:type="dxa"/>
            <w:vMerge w:val="continue"/>
            <w:tcMar>
              <w:left w:w="28" w:type="dxa"/>
              <w:right w:w="28" w:type="dxa"/>
            </w:tcMar>
            <w:vAlign w:val="center"/>
          </w:tcPr>
          <w:p>
            <w:pPr>
              <w:jc w:val="center"/>
              <w:rPr>
                <w:szCs w:val="21"/>
              </w:rPr>
            </w:pPr>
          </w:p>
        </w:tc>
        <w:tc>
          <w:tcPr>
            <w:tcW w:w="1039" w:type="dxa"/>
            <w:vMerge w:val="continue"/>
            <w:tcMar>
              <w:left w:w="28" w:type="dxa"/>
              <w:right w:w="28" w:type="dxa"/>
            </w:tcMar>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restart"/>
            <w:tcMar>
              <w:left w:w="28" w:type="dxa"/>
              <w:right w:w="28" w:type="dxa"/>
            </w:tcMar>
            <w:vAlign w:val="center"/>
          </w:tcPr>
          <w:p>
            <w:pPr>
              <w:ind w:left="-38" w:leftChars="-18" w:right="-53" w:rightChars="-25"/>
              <w:jc w:val="center"/>
              <w:rPr>
                <w:szCs w:val="21"/>
              </w:rPr>
            </w:pPr>
            <w:r>
              <w:rPr>
                <w:szCs w:val="21"/>
              </w:rPr>
              <w:t>201</w:t>
            </w:r>
            <w:r>
              <w:rPr>
                <w:rFonts w:hint="eastAsia"/>
                <w:szCs w:val="21"/>
              </w:rPr>
              <w:t>9</w:t>
            </w:r>
            <w:r>
              <w:rPr>
                <w:szCs w:val="21"/>
              </w:rPr>
              <w:t>年</w:t>
            </w:r>
            <w:r>
              <w:rPr>
                <w:rFonts w:hint="eastAsia"/>
                <w:szCs w:val="21"/>
              </w:rPr>
              <w:t>3</w:t>
            </w:r>
            <w:r>
              <w:rPr>
                <w:szCs w:val="21"/>
              </w:rPr>
              <w:t>月</w:t>
            </w:r>
            <w:r>
              <w:rPr>
                <w:rFonts w:hint="eastAsia"/>
                <w:szCs w:val="21"/>
              </w:rPr>
              <w:t>20</w:t>
            </w:r>
            <w:r>
              <w:rPr>
                <w:szCs w:val="21"/>
              </w:rPr>
              <w:t>日</w:t>
            </w:r>
          </w:p>
        </w:tc>
        <w:tc>
          <w:tcPr>
            <w:tcW w:w="567" w:type="dxa"/>
            <w:vMerge w:val="restart"/>
            <w:tcMar>
              <w:left w:w="28" w:type="dxa"/>
              <w:right w:w="28" w:type="dxa"/>
            </w:tcMar>
            <w:vAlign w:val="center"/>
          </w:tcPr>
          <w:p>
            <w:pPr>
              <w:jc w:val="center"/>
              <w:rPr>
                <w:szCs w:val="21"/>
              </w:rPr>
            </w:pPr>
            <w:r>
              <w:rPr>
                <w:rFonts w:hint="eastAsia"/>
              </w:rPr>
              <w:t>脱脂清洗、淬火工序排气筒FQ2</w:t>
            </w:r>
            <w:r>
              <w:rPr>
                <w:szCs w:val="21"/>
              </w:rPr>
              <w:t xml:space="preserve"> </w:t>
            </w:r>
          </w:p>
        </w:tc>
        <w:tc>
          <w:tcPr>
            <w:tcW w:w="1417" w:type="dxa"/>
            <w:gridSpan w:val="2"/>
            <w:tcMar>
              <w:left w:w="28" w:type="dxa"/>
              <w:right w:w="28" w:type="dxa"/>
            </w:tcMar>
            <w:vAlign w:val="center"/>
          </w:tcPr>
          <w:p>
            <w:pPr>
              <w:jc w:val="center"/>
              <w:rPr>
                <w:szCs w:val="21"/>
              </w:rPr>
            </w:pPr>
            <w:r>
              <w:rPr>
                <w:szCs w:val="21"/>
              </w:rPr>
              <w:t>标干废气流量</w:t>
            </w:r>
          </w:p>
        </w:tc>
        <w:tc>
          <w:tcPr>
            <w:tcW w:w="886" w:type="dxa"/>
            <w:tcMar>
              <w:left w:w="28" w:type="dxa"/>
              <w:right w:w="28" w:type="dxa"/>
            </w:tcMar>
            <w:vAlign w:val="center"/>
          </w:tcPr>
          <w:p>
            <w:pPr>
              <w:spacing w:line="276" w:lineRule="auto"/>
              <w:jc w:val="center"/>
            </w:pPr>
            <w:r>
              <w:rPr>
                <w:rFonts w:hint="eastAsia"/>
              </w:rPr>
              <w:t>571</w:t>
            </w:r>
          </w:p>
        </w:tc>
        <w:tc>
          <w:tcPr>
            <w:tcW w:w="886" w:type="dxa"/>
            <w:tcMar>
              <w:left w:w="28" w:type="dxa"/>
              <w:right w:w="28" w:type="dxa"/>
            </w:tcMar>
            <w:vAlign w:val="center"/>
          </w:tcPr>
          <w:p>
            <w:pPr>
              <w:spacing w:line="276" w:lineRule="auto"/>
              <w:jc w:val="center"/>
            </w:pPr>
            <w:r>
              <w:rPr>
                <w:rFonts w:hint="eastAsia"/>
              </w:rPr>
              <w:t>510</w:t>
            </w:r>
          </w:p>
        </w:tc>
        <w:tc>
          <w:tcPr>
            <w:tcW w:w="886" w:type="dxa"/>
            <w:tcMar>
              <w:left w:w="28" w:type="dxa"/>
              <w:right w:w="28" w:type="dxa"/>
            </w:tcMar>
            <w:vAlign w:val="center"/>
          </w:tcPr>
          <w:p>
            <w:pPr>
              <w:spacing w:line="276" w:lineRule="auto"/>
              <w:jc w:val="center"/>
            </w:pPr>
            <w:r>
              <w:rPr>
                <w:rFonts w:hint="eastAsia"/>
              </w:rPr>
              <w:t>433</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1358</w:t>
            </w:r>
          </w:p>
        </w:tc>
        <w:tc>
          <w:tcPr>
            <w:tcW w:w="886" w:type="dxa"/>
            <w:tcMar>
              <w:left w:w="28" w:type="dxa"/>
              <w:right w:w="28" w:type="dxa"/>
            </w:tcMar>
            <w:vAlign w:val="center"/>
          </w:tcPr>
          <w:p>
            <w:pPr>
              <w:spacing w:line="276" w:lineRule="auto"/>
              <w:jc w:val="center"/>
            </w:pPr>
            <w:r>
              <w:rPr>
                <w:rFonts w:hint="eastAsia"/>
              </w:rPr>
              <w:t>1248</w:t>
            </w:r>
          </w:p>
        </w:tc>
        <w:tc>
          <w:tcPr>
            <w:tcW w:w="886" w:type="dxa"/>
            <w:tcMar>
              <w:left w:w="28" w:type="dxa"/>
              <w:right w:w="28" w:type="dxa"/>
            </w:tcMar>
            <w:vAlign w:val="center"/>
          </w:tcPr>
          <w:p>
            <w:pPr>
              <w:spacing w:line="276" w:lineRule="auto"/>
              <w:jc w:val="center"/>
            </w:pPr>
            <w:r>
              <w:rPr>
                <w:rFonts w:hint="eastAsia"/>
              </w:rPr>
              <w:t>1530</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3821</w:t>
            </w:r>
          </w:p>
        </w:tc>
        <w:tc>
          <w:tcPr>
            <w:tcW w:w="886" w:type="dxa"/>
            <w:tcMar>
              <w:left w:w="28" w:type="dxa"/>
              <w:right w:w="28" w:type="dxa"/>
            </w:tcMar>
            <w:vAlign w:val="center"/>
          </w:tcPr>
          <w:p>
            <w:pPr>
              <w:spacing w:line="276" w:lineRule="auto"/>
              <w:jc w:val="center"/>
            </w:pPr>
            <w:r>
              <w:rPr>
                <w:rFonts w:hint="eastAsia"/>
              </w:rPr>
              <w:t>3388</w:t>
            </w:r>
          </w:p>
        </w:tc>
        <w:tc>
          <w:tcPr>
            <w:tcW w:w="886" w:type="dxa"/>
            <w:tcMar>
              <w:left w:w="28" w:type="dxa"/>
              <w:right w:w="28" w:type="dxa"/>
            </w:tcMar>
            <w:vAlign w:val="center"/>
          </w:tcPr>
          <w:p>
            <w:pPr>
              <w:spacing w:line="276" w:lineRule="auto"/>
              <w:jc w:val="center"/>
            </w:pPr>
            <w:r>
              <w:rPr>
                <w:rFonts w:hint="eastAsia"/>
              </w:rPr>
              <w:t>3869</w:t>
            </w:r>
          </w:p>
        </w:tc>
        <w:tc>
          <w:tcPr>
            <w:tcW w:w="886" w:type="dxa"/>
            <w:tcMar>
              <w:left w:w="28" w:type="dxa"/>
              <w:right w:w="28" w:type="dxa"/>
            </w:tcMar>
            <w:vAlign w:val="center"/>
          </w:tcPr>
          <w:p>
            <w:pPr>
              <w:spacing w:line="276" w:lineRule="auto"/>
              <w:jc w:val="center"/>
            </w:pPr>
            <w:r>
              <w:rPr>
                <w:rFonts w:hint="eastAsia"/>
              </w:rPr>
              <w:t>/</w:t>
            </w:r>
          </w:p>
        </w:tc>
        <w:tc>
          <w:tcPr>
            <w:tcW w:w="708" w:type="dxa"/>
            <w:tcMar>
              <w:left w:w="28" w:type="dxa"/>
              <w:right w:w="28" w:type="dxa"/>
            </w:tcMar>
            <w:vAlign w:val="center"/>
          </w:tcPr>
          <w:p>
            <w:pPr>
              <w:jc w:val="center"/>
              <w:rPr>
                <w:kern w:val="0"/>
                <w:szCs w:val="21"/>
              </w:rPr>
            </w:pPr>
            <w:r>
              <w:rPr>
                <w:rFonts w:hint="eastAsia"/>
                <w:kern w:val="0"/>
                <w:szCs w:val="21"/>
              </w:rPr>
              <w:t>/</w:t>
            </w:r>
          </w:p>
        </w:tc>
        <w:tc>
          <w:tcPr>
            <w:tcW w:w="1039" w:type="dxa"/>
            <w:tcMar>
              <w:left w:w="28" w:type="dxa"/>
              <w:right w:w="28" w:type="dxa"/>
            </w:tcMar>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 w:leftChars="-7"/>
              <w:jc w:val="center"/>
              <w:rPr>
                <w:szCs w:val="21"/>
              </w:rPr>
            </w:pPr>
          </w:p>
        </w:tc>
        <w:tc>
          <w:tcPr>
            <w:tcW w:w="703" w:type="dxa"/>
            <w:vMerge w:val="restart"/>
            <w:tcMar>
              <w:left w:w="28" w:type="dxa"/>
              <w:right w:w="28" w:type="dxa"/>
            </w:tcMar>
            <w:vAlign w:val="center"/>
          </w:tcPr>
          <w:p>
            <w:pPr>
              <w:jc w:val="center"/>
              <w:rPr>
                <w:szCs w:val="21"/>
              </w:rPr>
            </w:pPr>
            <w:r>
              <w:rPr>
                <w:rFonts w:hint="eastAsia"/>
                <w:szCs w:val="21"/>
              </w:rPr>
              <w:t>非甲烷总烃</w:t>
            </w:r>
          </w:p>
        </w:tc>
        <w:tc>
          <w:tcPr>
            <w:tcW w:w="714" w:type="dxa"/>
            <w:tcMar>
              <w:left w:w="28" w:type="dxa"/>
              <w:right w:w="28" w:type="dxa"/>
            </w:tcMar>
            <w:vAlign w:val="center"/>
          </w:tcPr>
          <w:p>
            <w:pPr>
              <w:jc w:val="center"/>
              <w:rPr>
                <w:szCs w:val="21"/>
              </w:rPr>
            </w:pPr>
            <w:r>
              <w:rPr>
                <w:szCs w:val="21"/>
              </w:rPr>
              <w:t>排放浓度</w:t>
            </w:r>
          </w:p>
        </w:tc>
        <w:tc>
          <w:tcPr>
            <w:tcW w:w="886" w:type="dxa"/>
            <w:tcMar>
              <w:left w:w="28" w:type="dxa"/>
              <w:right w:w="28" w:type="dxa"/>
            </w:tcMar>
            <w:vAlign w:val="center"/>
          </w:tcPr>
          <w:p>
            <w:pPr>
              <w:spacing w:line="276" w:lineRule="auto"/>
              <w:jc w:val="center"/>
            </w:pPr>
            <w:r>
              <w:rPr>
                <w:rFonts w:hint="eastAsia"/>
              </w:rPr>
              <w:t>2.84</w:t>
            </w:r>
          </w:p>
        </w:tc>
        <w:tc>
          <w:tcPr>
            <w:tcW w:w="886" w:type="dxa"/>
            <w:tcMar>
              <w:left w:w="28" w:type="dxa"/>
              <w:right w:w="28" w:type="dxa"/>
            </w:tcMar>
            <w:vAlign w:val="center"/>
          </w:tcPr>
          <w:p>
            <w:pPr>
              <w:spacing w:line="276" w:lineRule="auto"/>
              <w:jc w:val="center"/>
            </w:pPr>
            <w:r>
              <w:rPr>
                <w:rFonts w:hint="eastAsia"/>
              </w:rPr>
              <w:t>3.03</w:t>
            </w:r>
          </w:p>
        </w:tc>
        <w:tc>
          <w:tcPr>
            <w:tcW w:w="886" w:type="dxa"/>
            <w:tcMar>
              <w:left w:w="28" w:type="dxa"/>
              <w:right w:w="28" w:type="dxa"/>
            </w:tcMar>
            <w:vAlign w:val="center"/>
          </w:tcPr>
          <w:p>
            <w:pPr>
              <w:spacing w:line="276" w:lineRule="auto"/>
              <w:jc w:val="center"/>
            </w:pPr>
            <w:r>
              <w:rPr>
                <w:rFonts w:hint="eastAsia"/>
              </w:rPr>
              <w:t>3.05</w:t>
            </w:r>
          </w:p>
        </w:tc>
        <w:tc>
          <w:tcPr>
            <w:tcW w:w="886" w:type="dxa"/>
            <w:tcMar>
              <w:left w:w="28" w:type="dxa"/>
              <w:right w:w="28" w:type="dxa"/>
            </w:tcMar>
            <w:vAlign w:val="center"/>
          </w:tcPr>
          <w:p>
            <w:pPr>
              <w:spacing w:line="276" w:lineRule="auto"/>
              <w:jc w:val="center"/>
            </w:pPr>
            <w:r>
              <w:rPr>
                <w:rFonts w:hint="eastAsia"/>
              </w:rPr>
              <w:t>2.97</w:t>
            </w:r>
          </w:p>
        </w:tc>
        <w:tc>
          <w:tcPr>
            <w:tcW w:w="886" w:type="dxa"/>
            <w:tcMar>
              <w:left w:w="28" w:type="dxa"/>
              <w:right w:w="28" w:type="dxa"/>
            </w:tcMar>
            <w:vAlign w:val="center"/>
          </w:tcPr>
          <w:p>
            <w:pPr>
              <w:spacing w:line="276" w:lineRule="auto"/>
              <w:jc w:val="center"/>
            </w:pPr>
            <w:r>
              <w:rPr>
                <w:rFonts w:hint="eastAsia"/>
              </w:rPr>
              <w:t>3.91</w:t>
            </w:r>
          </w:p>
        </w:tc>
        <w:tc>
          <w:tcPr>
            <w:tcW w:w="886" w:type="dxa"/>
            <w:tcMar>
              <w:left w:w="28" w:type="dxa"/>
              <w:right w:w="28" w:type="dxa"/>
            </w:tcMar>
            <w:vAlign w:val="center"/>
          </w:tcPr>
          <w:p>
            <w:pPr>
              <w:spacing w:line="276" w:lineRule="auto"/>
              <w:jc w:val="center"/>
            </w:pPr>
            <w:r>
              <w:rPr>
                <w:rFonts w:hint="eastAsia"/>
              </w:rPr>
              <w:t>3.81</w:t>
            </w:r>
          </w:p>
        </w:tc>
        <w:tc>
          <w:tcPr>
            <w:tcW w:w="886" w:type="dxa"/>
            <w:tcMar>
              <w:left w:w="28" w:type="dxa"/>
              <w:right w:w="28" w:type="dxa"/>
            </w:tcMar>
            <w:vAlign w:val="center"/>
          </w:tcPr>
          <w:p>
            <w:pPr>
              <w:spacing w:line="276" w:lineRule="auto"/>
              <w:jc w:val="center"/>
            </w:pPr>
            <w:r>
              <w:rPr>
                <w:rFonts w:hint="eastAsia"/>
              </w:rPr>
              <w:t>3.91</w:t>
            </w:r>
          </w:p>
        </w:tc>
        <w:tc>
          <w:tcPr>
            <w:tcW w:w="886" w:type="dxa"/>
            <w:tcMar>
              <w:left w:w="28" w:type="dxa"/>
              <w:right w:w="28" w:type="dxa"/>
            </w:tcMar>
            <w:vAlign w:val="center"/>
          </w:tcPr>
          <w:p>
            <w:pPr>
              <w:spacing w:line="276" w:lineRule="auto"/>
              <w:jc w:val="center"/>
            </w:pPr>
            <w:r>
              <w:rPr>
                <w:rFonts w:hint="eastAsia"/>
              </w:rPr>
              <w:t>3.88</w:t>
            </w:r>
          </w:p>
        </w:tc>
        <w:tc>
          <w:tcPr>
            <w:tcW w:w="886" w:type="dxa"/>
            <w:tcMar>
              <w:left w:w="28" w:type="dxa"/>
              <w:right w:w="28" w:type="dxa"/>
            </w:tcMar>
            <w:vAlign w:val="center"/>
          </w:tcPr>
          <w:p>
            <w:pPr>
              <w:spacing w:line="276" w:lineRule="auto"/>
              <w:jc w:val="center"/>
            </w:pPr>
            <w:r>
              <w:rPr>
                <w:rFonts w:hint="eastAsia"/>
              </w:rPr>
              <w:t>0.41</w:t>
            </w:r>
          </w:p>
        </w:tc>
        <w:tc>
          <w:tcPr>
            <w:tcW w:w="886" w:type="dxa"/>
            <w:tcMar>
              <w:left w:w="28" w:type="dxa"/>
              <w:right w:w="28" w:type="dxa"/>
            </w:tcMar>
            <w:vAlign w:val="center"/>
          </w:tcPr>
          <w:p>
            <w:pPr>
              <w:spacing w:line="276" w:lineRule="auto"/>
              <w:jc w:val="center"/>
            </w:pPr>
            <w:r>
              <w:rPr>
                <w:rFonts w:hint="eastAsia"/>
              </w:rPr>
              <w:t>0.31</w:t>
            </w:r>
          </w:p>
        </w:tc>
        <w:tc>
          <w:tcPr>
            <w:tcW w:w="886" w:type="dxa"/>
            <w:tcMar>
              <w:left w:w="28" w:type="dxa"/>
              <w:right w:w="28" w:type="dxa"/>
            </w:tcMar>
            <w:vAlign w:val="center"/>
          </w:tcPr>
          <w:p>
            <w:pPr>
              <w:spacing w:line="276" w:lineRule="auto"/>
              <w:jc w:val="center"/>
            </w:pPr>
            <w:r>
              <w:rPr>
                <w:rFonts w:hint="eastAsia"/>
              </w:rPr>
              <w:t>0.37</w:t>
            </w:r>
          </w:p>
        </w:tc>
        <w:tc>
          <w:tcPr>
            <w:tcW w:w="886" w:type="dxa"/>
            <w:tcMar>
              <w:left w:w="28" w:type="dxa"/>
              <w:right w:w="28" w:type="dxa"/>
            </w:tcMar>
            <w:vAlign w:val="center"/>
          </w:tcPr>
          <w:p>
            <w:pPr>
              <w:jc w:val="center"/>
              <w:rPr>
                <w:szCs w:val="21"/>
              </w:rPr>
            </w:pPr>
            <w:r>
              <w:rPr>
                <w:rFonts w:hint="eastAsia"/>
                <w:szCs w:val="21"/>
              </w:rPr>
              <w:t>0.36</w:t>
            </w:r>
          </w:p>
        </w:tc>
        <w:tc>
          <w:tcPr>
            <w:tcW w:w="708" w:type="dxa"/>
            <w:vMerge w:val="restart"/>
            <w:tcMar>
              <w:left w:w="28" w:type="dxa"/>
              <w:right w:w="28" w:type="dxa"/>
            </w:tcMar>
            <w:vAlign w:val="center"/>
          </w:tcPr>
          <w:p>
            <w:pPr>
              <w:jc w:val="center"/>
              <w:rPr>
                <w:szCs w:val="21"/>
              </w:rPr>
            </w:pPr>
            <w:r>
              <w:rPr>
                <w:rFonts w:hint="eastAsia"/>
                <w:szCs w:val="21"/>
              </w:rPr>
              <w:t>80.3</w:t>
            </w:r>
          </w:p>
        </w:tc>
        <w:tc>
          <w:tcPr>
            <w:tcW w:w="1039" w:type="dxa"/>
            <w:tcMar>
              <w:left w:w="28" w:type="dxa"/>
              <w:right w:w="28" w:type="dxa"/>
            </w:tcMar>
            <w:vAlign w:val="center"/>
          </w:tcPr>
          <w:p>
            <w:pPr>
              <w:jc w:val="center"/>
              <w:rPr>
                <w:kern w:val="0"/>
                <w:szCs w:val="21"/>
              </w:rPr>
            </w:pPr>
            <w:r>
              <w:rPr>
                <w:rFonts w:hint="eastAsia"/>
                <w:kern w:val="0"/>
                <w:szCs w:val="21"/>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continue"/>
            <w:tcMar>
              <w:left w:w="28" w:type="dxa"/>
              <w:right w:w="28" w:type="dxa"/>
            </w:tcMar>
            <w:vAlign w:val="center"/>
          </w:tcPr>
          <w:p>
            <w:pPr>
              <w:jc w:val="center"/>
              <w:rPr>
                <w:szCs w:val="21"/>
              </w:rPr>
            </w:pPr>
          </w:p>
        </w:tc>
        <w:tc>
          <w:tcPr>
            <w:tcW w:w="714" w:type="dxa"/>
            <w:tcMar>
              <w:left w:w="28" w:type="dxa"/>
              <w:right w:w="28" w:type="dxa"/>
            </w:tcMar>
            <w:vAlign w:val="center"/>
          </w:tcPr>
          <w:p>
            <w:pPr>
              <w:jc w:val="center"/>
              <w:rPr>
                <w:szCs w:val="21"/>
              </w:rPr>
            </w:pPr>
            <w:r>
              <w:rPr>
                <w:szCs w:val="21"/>
              </w:rPr>
              <w:t>排放速率</w:t>
            </w:r>
          </w:p>
        </w:tc>
        <w:tc>
          <w:tcPr>
            <w:tcW w:w="886" w:type="dxa"/>
            <w:tcMar>
              <w:left w:w="28" w:type="dxa"/>
              <w:right w:w="28" w:type="dxa"/>
            </w:tcMar>
            <w:vAlign w:val="center"/>
          </w:tcPr>
          <w:p>
            <w:pPr>
              <w:spacing w:line="276" w:lineRule="auto"/>
              <w:jc w:val="center"/>
              <w:rPr>
                <w:sz w:val="18"/>
              </w:rPr>
            </w:pPr>
            <w:r>
              <w:rPr>
                <w:rFonts w:hint="eastAsia"/>
                <w:sz w:val="18"/>
              </w:rPr>
              <w:t>1.62×10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1.54×10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1.32×10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1.49×10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5.31×10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4.75×10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5.98×10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5.35×10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1.57×10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1.05×10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1.43×10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1.35</w:t>
            </w:r>
            <w:r>
              <w:rPr>
                <w:rFonts w:hint="eastAsia"/>
                <w:sz w:val="18"/>
              </w:rPr>
              <w:t>×10</w:t>
            </w:r>
            <w:r>
              <w:rPr>
                <w:rFonts w:hint="eastAsia"/>
                <w:sz w:val="18"/>
                <w:vertAlign w:val="superscript"/>
              </w:rPr>
              <w:t>-3</w:t>
            </w:r>
          </w:p>
        </w:tc>
        <w:tc>
          <w:tcPr>
            <w:tcW w:w="708" w:type="dxa"/>
            <w:vMerge w:val="continue"/>
            <w:tcMar>
              <w:left w:w="28" w:type="dxa"/>
              <w:right w:w="28" w:type="dxa"/>
            </w:tcMar>
            <w:vAlign w:val="center"/>
          </w:tcPr>
          <w:p>
            <w:pPr>
              <w:jc w:val="center"/>
              <w:rPr>
                <w:szCs w:val="21"/>
              </w:rPr>
            </w:pPr>
          </w:p>
        </w:tc>
        <w:tc>
          <w:tcPr>
            <w:tcW w:w="1039" w:type="dxa"/>
            <w:tcMar>
              <w:left w:w="28" w:type="dxa"/>
              <w:right w:w="28" w:type="dxa"/>
            </w:tcMar>
            <w:vAlign w:val="center"/>
          </w:tcPr>
          <w:p>
            <w:pPr>
              <w:jc w:val="center"/>
              <w:rPr>
                <w:kern w:val="0"/>
                <w:szCs w:val="21"/>
              </w:rPr>
            </w:pPr>
            <w:r>
              <w:rPr>
                <w:rFonts w:hint="eastAsia"/>
                <w:kern w:val="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restart"/>
            <w:tcMar>
              <w:left w:w="28" w:type="dxa"/>
              <w:right w:w="28" w:type="dxa"/>
            </w:tcMar>
            <w:vAlign w:val="center"/>
          </w:tcPr>
          <w:p>
            <w:pPr>
              <w:ind w:left="-38" w:leftChars="-18" w:right="-53" w:rightChars="-25"/>
              <w:jc w:val="center"/>
              <w:rPr>
                <w:szCs w:val="21"/>
              </w:rPr>
            </w:pPr>
            <w:r>
              <w:rPr>
                <w:szCs w:val="21"/>
              </w:rPr>
              <w:t>201</w:t>
            </w:r>
            <w:r>
              <w:rPr>
                <w:rFonts w:hint="eastAsia"/>
                <w:szCs w:val="21"/>
              </w:rPr>
              <w:t>9</w:t>
            </w:r>
            <w:r>
              <w:rPr>
                <w:szCs w:val="21"/>
              </w:rPr>
              <w:t>年</w:t>
            </w:r>
            <w:r>
              <w:rPr>
                <w:rFonts w:hint="eastAsia"/>
                <w:szCs w:val="21"/>
              </w:rPr>
              <w:t>3</w:t>
            </w:r>
            <w:r>
              <w:rPr>
                <w:szCs w:val="21"/>
              </w:rPr>
              <w:t>月</w:t>
            </w:r>
            <w:r>
              <w:rPr>
                <w:rFonts w:hint="eastAsia"/>
                <w:szCs w:val="21"/>
              </w:rPr>
              <w:t>21</w:t>
            </w:r>
            <w:r>
              <w:rPr>
                <w:szCs w:val="21"/>
              </w:rPr>
              <w:t>日</w:t>
            </w:r>
          </w:p>
        </w:tc>
        <w:tc>
          <w:tcPr>
            <w:tcW w:w="567" w:type="dxa"/>
            <w:vMerge w:val="continue"/>
            <w:tcMar>
              <w:left w:w="28" w:type="dxa"/>
              <w:right w:w="28" w:type="dxa"/>
            </w:tcMar>
            <w:vAlign w:val="center"/>
          </w:tcPr>
          <w:p>
            <w:pPr>
              <w:ind w:left="-153" w:leftChars="-73"/>
              <w:jc w:val="center"/>
              <w:rPr>
                <w:szCs w:val="21"/>
              </w:rPr>
            </w:pPr>
          </w:p>
        </w:tc>
        <w:tc>
          <w:tcPr>
            <w:tcW w:w="1417" w:type="dxa"/>
            <w:gridSpan w:val="2"/>
            <w:tcMar>
              <w:left w:w="28" w:type="dxa"/>
              <w:right w:w="28" w:type="dxa"/>
            </w:tcMar>
            <w:vAlign w:val="center"/>
          </w:tcPr>
          <w:p>
            <w:pPr>
              <w:jc w:val="center"/>
              <w:rPr>
                <w:szCs w:val="21"/>
              </w:rPr>
            </w:pPr>
            <w:r>
              <w:rPr>
                <w:szCs w:val="21"/>
              </w:rPr>
              <w:t>标干废气流量</w:t>
            </w:r>
          </w:p>
        </w:tc>
        <w:tc>
          <w:tcPr>
            <w:tcW w:w="886" w:type="dxa"/>
            <w:tcMar>
              <w:left w:w="28" w:type="dxa"/>
              <w:right w:w="28" w:type="dxa"/>
            </w:tcMar>
            <w:vAlign w:val="center"/>
          </w:tcPr>
          <w:p>
            <w:pPr>
              <w:spacing w:line="276" w:lineRule="auto"/>
              <w:jc w:val="center"/>
            </w:pPr>
            <w:r>
              <w:rPr>
                <w:rFonts w:hint="eastAsia"/>
              </w:rPr>
              <w:t>548</w:t>
            </w:r>
          </w:p>
        </w:tc>
        <w:tc>
          <w:tcPr>
            <w:tcW w:w="886" w:type="dxa"/>
            <w:tcMar>
              <w:left w:w="28" w:type="dxa"/>
              <w:right w:w="28" w:type="dxa"/>
            </w:tcMar>
            <w:vAlign w:val="center"/>
          </w:tcPr>
          <w:p>
            <w:pPr>
              <w:spacing w:line="276" w:lineRule="auto"/>
              <w:jc w:val="center"/>
            </w:pPr>
            <w:r>
              <w:rPr>
                <w:rFonts w:hint="eastAsia"/>
              </w:rPr>
              <w:t>505</w:t>
            </w:r>
          </w:p>
        </w:tc>
        <w:tc>
          <w:tcPr>
            <w:tcW w:w="886" w:type="dxa"/>
            <w:tcMar>
              <w:left w:w="28" w:type="dxa"/>
              <w:right w:w="28" w:type="dxa"/>
            </w:tcMar>
            <w:vAlign w:val="center"/>
          </w:tcPr>
          <w:p>
            <w:pPr>
              <w:spacing w:line="276" w:lineRule="auto"/>
              <w:jc w:val="center"/>
            </w:pPr>
            <w:r>
              <w:rPr>
                <w:rFonts w:hint="eastAsia"/>
              </w:rPr>
              <w:t>561</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1317</w:t>
            </w:r>
          </w:p>
        </w:tc>
        <w:tc>
          <w:tcPr>
            <w:tcW w:w="886" w:type="dxa"/>
            <w:tcMar>
              <w:left w:w="28" w:type="dxa"/>
              <w:right w:w="28" w:type="dxa"/>
            </w:tcMar>
            <w:vAlign w:val="center"/>
          </w:tcPr>
          <w:p>
            <w:pPr>
              <w:spacing w:line="276" w:lineRule="auto"/>
              <w:jc w:val="center"/>
            </w:pPr>
            <w:r>
              <w:rPr>
                <w:rFonts w:hint="eastAsia"/>
              </w:rPr>
              <w:t>1465</w:t>
            </w:r>
          </w:p>
        </w:tc>
        <w:tc>
          <w:tcPr>
            <w:tcW w:w="886" w:type="dxa"/>
            <w:tcMar>
              <w:left w:w="28" w:type="dxa"/>
              <w:right w:w="28" w:type="dxa"/>
            </w:tcMar>
            <w:vAlign w:val="center"/>
          </w:tcPr>
          <w:p>
            <w:pPr>
              <w:spacing w:line="276" w:lineRule="auto"/>
              <w:jc w:val="center"/>
            </w:pPr>
            <w:r>
              <w:rPr>
                <w:rFonts w:hint="eastAsia"/>
              </w:rPr>
              <w:t>1234</w:t>
            </w:r>
          </w:p>
        </w:tc>
        <w:tc>
          <w:tcPr>
            <w:tcW w:w="886" w:type="dxa"/>
            <w:tcMar>
              <w:left w:w="28" w:type="dxa"/>
              <w:right w:w="28" w:type="dxa"/>
            </w:tcMar>
            <w:vAlign w:val="center"/>
          </w:tcPr>
          <w:p>
            <w:pPr>
              <w:jc w:val="center"/>
              <w:rPr>
                <w:szCs w:val="21"/>
              </w:rPr>
            </w:pPr>
            <w:r>
              <w:rPr>
                <w:rFonts w:hint="eastAsia"/>
                <w:szCs w:val="21"/>
              </w:rPr>
              <w:t>/</w:t>
            </w:r>
          </w:p>
        </w:tc>
        <w:tc>
          <w:tcPr>
            <w:tcW w:w="886" w:type="dxa"/>
            <w:tcMar>
              <w:left w:w="28" w:type="dxa"/>
              <w:right w:w="28" w:type="dxa"/>
            </w:tcMar>
            <w:vAlign w:val="center"/>
          </w:tcPr>
          <w:p>
            <w:pPr>
              <w:spacing w:line="276" w:lineRule="auto"/>
              <w:jc w:val="center"/>
            </w:pPr>
            <w:r>
              <w:rPr>
                <w:rFonts w:hint="eastAsia"/>
              </w:rPr>
              <w:t>4562</w:t>
            </w:r>
          </w:p>
        </w:tc>
        <w:tc>
          <w:tcPr>
            <w:tcW w:w="886" w:type="dxa"/>
            <w:tcMar>
              <w:left w:w="28" w:type="dxa"/>
              <w:right w:w="28" w:type="dxa"/>
            </w:tcMar>
            <w:vAlign w:val="center"/>
          </w:tcPr>
          <w:p>
            <w:pPr>
              <w:spacing w:line="276" w:lineRule="auto"/>
              <w:jc w:val="center"/>
            </w:pPr>
            <w:r>
              <w:rPr>
                <w:rFonts w:hint="eastAsia"/>
              </w:rPr>
              <w:t>4487</w:t>
            </w:r>
          </w:p>
        </w:tc>
        <w:tc>
          <w:tcPr>
            <w:tcW w:w="886" w:type="dxa"/>
            <w:tcMar>
              <w:left w:w="28" w:type="dxa"/>
              <w:right w:w="28" w:type="dxa"/>
            </w:tcMar>
            <w:vAlign w:val="center"/>
          </w:tcPr>
          <w:p>
            <w:pPr>
              <w:spacing w:line="276" w:lineRule="auto"/>
              <w:jc w:val="center"/>
            </w:pPr>
            <w:r>
              <w:rPr>
                <w:rFonts w:hint="eastAsia"/>
              </w:rPr>
              <w:t>4468</w:t>
            </w:r>
          </w:p>
        </w:tc>
        <w:tc>
          <w:tcPr>
            <w:tcW w:w="886" w:type="dxa"/>
            <w:tcMar>
              <w:left w:w="28" w:type="dxa"/>
              <w:right w:w="28" w:type="dxa"/>
            </w:tcMar>
            <w:vAlign w:val="center"/>
          </w:tcPr>
          <w:p>
            <w:pPr>
              <w:jc w:val="center"/>
              <w:rPr>
                <w:szCs w:val="21"/>
              </w:rPr>
            </w:pPr>
            <w:r>
              <w:rPr>
                <w:rFonts w:hint="eastAsia"/>
                <w:szCs w:val="21"/>
              </w:rPr>
              <w:t>/</w:t>
            </w:r>
          </w:p>
        </w:tc>
        <w:tc>
          <w:tcPr>
            <w:tcW w:w="708" w:type="dxa"/>
            <w:tcMar>
              <w:left w:w="28" w:type="dxa"/>
              <w:right w:w="28" w:type="dxa"/>
            </w:tcMar>
            <w:vAlign w:val="center"/>
          </w:tcPr>
          <w:p>
            <w:pPr>
              <w:jc w:val="center"/>
              <w:rPr>
                <w:szCs w:val="21"/>
              </w:rPr>
            </w:pPr>
            <w:r>
              <w:rPr>
                <w:rFonts w:hint="eastAsia"/>
                <w:szCs w:val="21"/>
              </w:rPr>
              <w:t>/</w:t>
            </w:r>
          </w:p>
        </w:tc>
        <w:tc>
          <w:tcPr>
            <w:tcW w:w="1039" w:type="dxa"/>
            <w:tcMar>
              <w:left w:w="28" w:type="dxa"/>
              <w:right w:w="28" w:type="dxa"/>
            </w:tcMar>
            <w:vAlign w:val="center"/>
          </w:tcPr>
          <w:p>
            <w:pPr>
              <w:autoSpaceDE w:val="0"/>
              <w:autoSpaceDN w:val="0"/>
              <w:jc w:val="center"/>
              <w:rPr>
                <w:kern w:val="0"/>
                <w:szCs w:val="21"/>
              </w:rPr>
            </w:pPr>
            <w:r>
              <w:rPr>
                <w:rFonts w:hint="eastAsia"/>
                <w:kern w:val="0"/>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restart"/>
            <w:tcMar>
              <w:left w:w="28" w:type="dxa"/>
              <w:right w:w="28" w:type="dxa"/>
            </w:tcMar>
            <w:vAlign w:val="center"/>
          </w:tcPr>
          <w:p>
            <w:pPr>
              <w:jc w:val="center"/>
              <w:rPr>
                <w:szCs w:val="21"/>
              </w:rPr>
            </w:pPr>
            <w:r>
              <w:rPr>
                <w:rFonts w:hint="eastAsia"/>
                <w:szCs w:val="21"/>
              </w:rPr>
              <w:t>非甲烷总烃</w:t>
            </w:r>
          </w:p>
        </w:tc>
        <w:tc>
          <w:tcPr>
            <w:tcW w:w="714" w:type="dxa"/>
            <w:tcMar>
              <w:left w:w="28" w:type="dxa"/>
              <w:right w:w="28" w:type="dxa"/>
            </w:tcMar>
            <w:vAlign w:val="center"/>
          </w:tcPr>
          <w:p>
            <w:pPr>
              <w:jc w:val="center"/>
              <w:rPr>
                <w:szCs w:val="21"/>
              </w:rPr>
            </w:pPr>
            <w:r>
              <w:rPr>
                <w:szCs w:val="21"/>
              </w:rPr>
              <w:t>排放浓度</w:t>
            </w:r>
          </w:p>
        </w:tc>
        <w:tc>
          <w:tcPr>
            <w:tcW w:w="886" w:type="dxa"/>
            <w:tcMar>
              <w:left w:w="28" w:type="dxa"/>
              <w:right w:w="28" w:type="dxa"/>
            </w:tcMar>
            <w:vAlign w:val="center"/>
          </w:tcPr>
          <w:p>
            <w:pPr>
              <w:spacing w:line="276" w:lineRule="auto"/>
              <w:jc w:val="center"/>
            </w:pPr>
            <w:r>
              <w:rPr>
                <w:rFonts w:hint="eastAsia"/>
              </w:rPr>
              <w:t>2.62</w:t>
            </w:r>
          </w:p>
        </w:tc>
        <w:tc>
          <w:tcPr>
            <w:tcW w:w="886" w:type="dxa"/>
            <w:tcMar>
              <w:left w:w="28" w:type="dxa"/>
              <w:right w:w="28" w:type="dxa"/>
            </w:tcMar>
            <w:vAlign w:val="center"/>
          </w:tcPr>
          <w:p>
            <w:pPr>
              <w:spacing w:line="276" w:lineRule="auto"/>
              <w:jc w:val="center"/>
            </w:pPr>
            <w:r>
              <w:rPr>
                <w:rFonts w:hint="eastAsia"/>
              </w:rPr>
              <w:t>3.15</w:t>
            </w:r>
          </w:p>
        </w:tc>
        <w:tc>
          <w:tcPr>
            <w:tcW w:w="886" w:type="dxa"/>
            <w:tcMar>
              <w:left w:w="28" w:type="dxa"/>
              <w:right w:w="28" w:type="dxa"/>
            </w:tcMar>
            <w:vAlign w:val="center"/>
          </w:tcPr>
          <w:p>
            <w:pPr>
              <w:spacing w:line="276" w:lineRule="auto"/>
              <w:jc w:val="center"/>
            </w:pPr>
            <w:r>
              <w:rPr>
                <w:rFonts w:hint="eastAsia"/>
              </w:rPr>
              <w:t>2.88</w:t>
            </w:r>
          </w:p>
        </w:tc>
        <w:tc>
          <w:tcPr>
            <w:tcW w:w="886" w:type="dxa"/>
            <w:tcMar>
              <w:left w:w="28" w:type="dxa"/>
              <w:right w:w="28" w:type="dxa"/>
            </w:tcMar>
            <w:vAlign w:val="center"/>
          </w:tcPr>
          <w:p>
            <w:pPr>
              <w:jc w:val="center"/>
              <w:rPr>
                <w:szCs w:val="21"/>
              </w:rPr>
            </w:pPr>
            <w:r>
              <w:rPr>
                <w:rFonts w:hint="eastAsia"/>
                <w:szCs w:val="21"/>
              </w:rPr>
              <w:t>2.88</w:t>
            </w:r>
          </w:p>
        </w:tc>
        <w:tc>
          <w:tcPr>
            <w:tcW w:w="886" w:type="dxa"/>
            <w:tcMar>
              <w:left w:w="28" w:type="dxa"/>
              <w:right w:w="28" w:type="dxa"/>
            </w:tcMar>
            <w:vAlign w:val="center"/>
          </w:tcPr>
          <w:p>
            <w:pPr>
              <w:spacing w:line="276" w:lineRule="auto"/>
              <w:jc w:val="center"/>
            </w:pPr>
            <w:r>
              <w:rPr>
                <w:rFonts w:hint="eastAsia"/>
              </w:rPr>
              <w:t>4.54</w:t>
            </w:r>
          </w:p>
        </w:tc>
        <w:tc>
          <w:tcPr>
            <w:tcW w:w="886" w:type="dxa"/>
            <w:tcMar>
              <w:left w:w="28" w:type="dxa"/>
              <w:right w:w="28" w:type="dxa"/>
            </w:tcMar>
            <w:vAlign w:val="center"/>
          </w:tcPr>
          <w:p>
            <w:pPr>
              <w:spacing w:line="276" w:lineRule="auto"/>
              <w:jc w:val="center"/>
            </w:pPr>
            <w:r>
              <w:rPr>
                <w:rFonts w:hint="eastAsia"/>
              </w:rPr>
              <w:t>4.28</w:t>
            </w:r>
          </w:p>
        </w:tc>
        <w:tc>
          <w:tcPr>
            <w:tcW w:w="886" w:type="dxa"/>
            <w:tcMar>
              <w:left w:w="28" w:type="dxa"/>
              <w:right w:w="28" w:type="dxa"/>
            </w:tcMar>
            <w:vAlign w:val="center"/>
          </w:tcPr>
          <w:p>
            <w:pPr>
              <w:spacing w:line="276" w:lineRule="auto"/>
              <w:jc w:val="center"/>
            </w:pPr>
            <w:r>
              <w:rPr>
                <w:rFonts w:hint="eastAsia"/>
              </w:rPr>
              <w:t>4.52</w:t>
            </w:r>
          </w:p>
        </w:tc>
        <w:tc>
          <w:tcPr>
            <w:tcW w:w="886" w:type="dxa"/>
            <w:tcMar>
              <w:left w:w="28" w:type="dxa"/>
              <w:right w:w="28" w:type="dxa"/>
            </w:tcMar>
            <w:vAlign w:val="center"/>
          </w:tcPr>
          <w:p>
            <w:pPr>
              <w:jc w:val="center"/>
              <w:rPr>
                <w:szCs w:val="21"/>
              </w:rPr>
            </w:pPr>
            <w:r>
              <w:rPr>
                <w:rFonts w:hint="eastAsia"/>
                <w:szCs w:val="21"/>
              </w:rPr>
              <w:t>4.45</w:t>
            </w:r>
          </w:p>
        </w:tc>
        <w:tc>
          <w:tcPr>
            <w:tcW w:w="886" w:type="dxa"/>
            <w:tcMar>
              <w:left w:w="28" w:type="dxa"/>
              <w:right w:w="28" w:type="dxa"/>
            </w:tcMar>
            <w:vAlign w:val="center"/>
          </w:tcPr>
          <w:p>
            <w:pPr>
              <w:spacing w:line="276" w:lineRule="auto"/>
              <w:jc w:val="center"/>
            </w:pPr>
            <w:r>
              <w:rPr>
                <w:rFonts w:hint="eastAsia"/>
              </w:rPr>
              <w:t>0.44</w:t>
            </w:r>
          </w:p>
        </w:tc>
        <w:tc>
          <w:tcPr>
            <w:tcW w:w="886" w:type="dxa"/>
            <w:tcMar>
              <w:left w:w="28" w:type="dxa"/>
              <w:right w:w="28" w:type="dxa"/>
            </w:tcMar>
            <w:vAlign w:val="center"/>
          </w:tcPr>
          <w:p>
            <w:pPr>
              <w:spacing w:line="276" w:lineRule="auto"/>
              <w:jc w:val="center"/>
            </w:pPr>
            <w:r>
              <w:rPr>
                <w:rFonts w:hint="eastAsia"/>
              </w:rPr>
              <w:t>0.43</w:t>
            </w:r>
          </w:p>
        </w:tc>
        <w:tc>
          <w:tcPr>
            <w:tcW w:w="886" w:type="dxa"/>
            <w:tcMar>
              <w:left w:w="28" w:type="dxa"/>
              <w:right w:w="28" w:type="dxa"/>
            </w:tcMar>
            <w:vAlign w:val="center"/>
          </w:tcPr>
          <w:p>
            <w:pPr>
              <w:spacing w:line="276" w:lineRule="auto"/>
              <w:jc w:val="center"/>
            </w:pPr>
            <w:r>
              <w:rPr>
                <w:rFonts w:hint="eastAsia"/>
              </w:rPr>
              <w:t>0.42</w:t>
            </w:r>
          </w:p>
        </w:tc>
        <w:tc>
          <w:tcPr>
            <w:tcW w:w="886" w:type="dxa"/>
            <w:tcMar>
              <w:left w:w="28" w:type="dxa"/>
              <w:right w:w="28" w:type="dxa"/>
            </w:tcMar>
            <w:vAlign w:val="center"/>
          </w:tcPr>
          <w:p>
            <w:pPr>
              <w:jc w:val="center"/>
              <w:rPr>
                <w:szCs w:val="21"/>
              </w:rPr>
            </w:pPr>
            <w:r>
              <w:rPr>
                <w:rFonts w:hint="eastAsia"/>
                <w:szCs w:val="21"/>
              </w:rPr>
              <w:t>0.43</w:t>
            </w:r>
          </w:p>
        </w:tc>
        <w:tc>
          <w:tcPr>
            <w:tcW w:w="708" w:type="dxa"/>
            <w:vMerge w:val="restart"/>
            <w:tcMar>
              <w:left w:w="28" w:type="dxa"/>
              <w:right w:w="28" w:type="dxa"/>
            </w:tcMar>
            <w:vAlign w:val="center"/>
          </w:tcPr>
          <w:p>
            <w:pPr>
              <w:jc w:val="center"/>
              <w:rPr>
                <w:kern w:val="0"/>
                <w:szCs w:val="21"/>
              </w:rPr>
            </w:pPr>
            <w:r>
              <w:rPr>
                <w:rFonts w:hint="eastAsia"/>
                <w:kern w:val="0"/>
                <w:szCs w:val="21"/>
              </w:rPr>
              <w:t>74.1</w:t>
            </w:r>
          </w:p>
        </w:tc>
        <w:tc>
          <w:tcPr>
            <w:tcW w:w="1039" w:type="dxa"/>
            <w:tcMar>
              <w:left w:w="28" w:type="dxa"/>
              <w:right w:w="28" w:type="dxa"/>
            </w:tcMar>
            <w:vAlign w:val="center"/>
          </w:tcPr>
          <w:p>
            <w:pPr>
              <w:jc w:val="center"/>
              <w:rPr>
                <w:kern w:val="0"/>
                <w:szCs w:val="21"/>
              </w:rPr>
            </w:pPr>
            <w:r>
              <w:rPr>
                <w:rFonts w:hint="eastAsia"/>
                <w:kern w:val="0"/>
                <w:szCs w:val="21"/>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986" w:type="dxa"/>
            <w:vMerge w:val="continue"/>
            <w:tcMar>
              <w:left w:w="28" w:type="dxa"/>
              <w:right w:w="28" w:type="dxa"/>
            </w:tcMar>
            <w:vAlign w:val="center"/>
          </w:tcPr>
          <w:p>
            <w:pPr>
              <w:jc w:val="center"/>
              <w:rPr>
                <w:szCs w:val="21"/>
              </w:rPr>
            </w:pPr>
          </w:p>
        </w:tc>
        <w:tc>
          <w:tcPr>
            <w:tcW w:w="567" w:type="dxa"/>
            <w:vMerge w:val="continue"/>
            <w:tcMar>
              <w:left w:w="28" w:type="dxa"/>
              <w:right w:w="28" w:type="dxa"/>
            </w:tcMar>
            <w:vAlign w:val="center"/>
          </w:tcPr>
          <w:p>
            <w:pPr>
              <w:ind w:left="-153" w:leftChars="-73"/>
              <w:jc w:val="center"/>
              <w:rPr>
                <w:szCs w:val="21"/>
              </w:rPr>
            </w:pPr>
          </w:p>
        </w:tc>
        <w:tc>
          <w:tcPr>
            <w:tcW w:w="703" w:type="dxa"/>
            <w:vMerge w:val="continue"/>
            <w:tcMar>
              <w:left w:w="28" w:type="dxa"/>
              <w:right w:w="28" w:type="dxa"/>
            </w:tcMar>
            <w:vAlign w:val="center"/>
          </w:tcPr>
          <w:p>
            <w:pPr>
              <w:jc w:val="center"/>
              <w:rPr>
                <w:szCs w:val="21"/>
              </w:rPr>
            </w:pPr>
          </w:p>
        </w:tc>
        <w:tc>
          <w:tcPr>
            <w:tcW w:w="714" w:type="dxa"/>
            <w:tcMar>
              <w:left w:w="28" w:type="dxa"/>
              <w:right w:w="28" w:type="dxa"/>
            </w:tcMar>
            <w:vAlign w:val="center"/>
          </w:tcPr>
          <w:p>
            <w:pPr>
              <w:jc w:val="center"/>
              <w:rPr>
                <w:szCs w:val="21"/>
              </w:rPr>
            </w:pPr>
            <w:r>
              <w:rPr>
                <w:szCs w:val="21"/>
              </w:rPr>
              <w:t>排放速率</w:t>
            </w:r>
          </w:p>
        </w:tc>
        <w:tc>
          <w:tcPr>
            <w:tcW w:w="886" w:type="dxa"/>
            <w:tcMar>
              <w:left w:w="28" w:type="dxa"/>
              <w:right w:w="28" w:type="dxa"/>
            </w:tcMar>
            <w:vAlign w:val="center"/>
          </w:tcPr>
          <w:p>
            <w:pPr>
              <w:spacing w:line="276" w:lineRule="auto"/>
              <w:jc w:val="center"/>
              <w:rPr>
                <w:sz w:val="18"/>
              </w:rPr>
            </w:pPr>
            <w:r>
              <w:rPr>
                <w:rFonts w:hint="eastAsia"/>
                <w:sz w:val="18"/>
              </w:rPr>
              <w:t>1.44×10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1.59×10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1.62×10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1.55</w:t>
            </w:r>
            <w:r>
              <w:rPr>
                <w:rFonts w:hint="eastAsia"/>
                <w:sz w:val="18"/>
              </w:rPr>
              <w:t>×10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5.98×10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6.27×10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5.58×10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5.94</w:t>
            </w:r>
            <w:r>
              <w:rPr>
                <w:rFonts w:hint="eastAsia"/>
                <w:sz w:val="18"/>
              </w:rPr>
              <w:t>×10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2.01×10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1.93×10</w:t>
            </w:r>
            <w:r>
              <w:rPr>
                <w:rFonts w:hint="eastAsia"/>
                <w:sz w:val="18"/>
                <w:vertAlign w:val="superscript"/>
              </w:rPr>
              <w:t>-3</w:t>
            </w:r>
          </w:p>
        </w:tc>
        <w:tc>
          <w:tcPr>
            <w:tcW w:w="886" w:type="dxa"/>
            <w:tcMar>
              <w:left w:w="28" w:type="dxa"/>
              <w:right w:w="28" w:type="dxa"/>
            </w:tcMar>
            <w:vAlign w:val="center"/>
          </w:tcPr>
          <w:p>
            <w:pPr>
              <w:spacing w:line="276" w:lineRule="auto"/>
              <w:jc w:val="center"/>
              <w:rPr>
                <w:sz w:val="18"/>
              </w:rPr>
            </w:pPr>
            <w:r>
              <w:rPr>
                <w:rFonts w:hint="eastAsia"/>
                <w:sz w:val="18"/>
              </w:rPr>
              <w:t>1.88×10</w:t>
            </w:r>
            <w:r>
              <w:rPr>
                <w:rFonts w:hint="eastAsia"/>
                <w:sz w:val="18"/>
                <w:vertAlign w:val="superscript"/>
              </w:rPr>
              <w:t>-3</w:t>
            </w:r>
          </w:p>
        </w:tc>
        <w:tc>
          <w:tcPr>
            <w:tcW w:w="886" w:type="dxa"/>
            <w:tcMar>
              <w:left w:w="28" w:type="dxa"/>
              <w:right w:w="28" w:type="dxa"/>
            </w:tcMar>
            <w:vAlign w:val="center"/>
          </w:tcPr>
          <w:p>
            <w:pPr>
              <w:jc w:val="center"/>
              <w:rPr>
                <w:sz w:val="18"/>
                <w:szCs w:val="21"/>
              </w:rPr>
            </w:pPr>
            <w:r>
              <w:rPr>
                <w:rFonts w:hint="eastAsia"/>
                <w:sz w:val="18"/>
                <w:szCs w:val="21"/>
              </w:rPr>
              <w:t>1.94</w:t>
            </w:r>
            <w:r>
              <w:rPr>
                <w:rFonts w:hint="eastAsia"/>
                <w:sz w:val="18"/>
              </w:rPr>
              <w:t>×10</w:t>
            </w:r>
            <w:r>
              <w:rPr>
                <w:rFonts w:hint="eastAsia"/>
                <w:sz w:val="18"/>
                <w:vertAlign w:val="superscript"/>
              </w:rPr>
              <w:t>-3</w:t>
            </w:r>
          </w:p>
        </w:tc>
        <w:tc>
          <w:tcPr>
            <w:tcW w:w="708" w:type="dxa"/>
            <w:vMerge w:val="continue"/>
            <w:tcMar>
              <w:left w:w="28" w:type="dxa"/>
              <w:right w:w="28" w:type="dxa"/>
            </w:tcMar>
            <w:vAlign w:val="center"/>
          </w:tcPr>
          <w:p>
            <w:pPr>
              <w:jc w:val="center"/>
              <w:rPr>
                <w:szCs w:val="21"/>
              </w:rPr>
            </w:pPr>
          </w:p>
        </w:tc>
        <w:tc>
          <w:tcPr>
            <w:tcW w:w="1039" w:type="dxa"/>
            <w:tcMar>
              <w:left w:w="28" w:type="dxa"/>
              <w:right w:w="28" w:type="dxa"/>
            </w:tcMar>
            <w:vAlign w:val="center"/>
          </w:tcPr>
          <w:p>
            <w:pPr>
              <w:jc w:val="center"/>
              <w:rPr>
                <w:kern w:val="0"/>
                <w:szCs w:val="21"/>
              </w:rPr>
            </w:pPr>
            <w:r>
              <w:rPr>
                <w:rFonts w:hint="eastAsia"/>
                <w:kern w:val="0"/>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680" w:hRule="atLeast"/>
          <w:jc w:val="center"/>
        </w:trPr>
        <w:tc>
          <w:tcPr>
            <w:tcW w:w="1553" w:type="dxa"/>
            <w:gridSpan w:val="2"/>
            <w:tcBorders>
              <w:bottom w:val="single" w:color="auto" w:sz="12" w:space="0"/>
            </w:tcBorders>
            <w:tcMar>
              <w:left w:w="28" w:type="dxa"/>
              <w:right w:w="28" w:type="dxa"/>
            </w:tcMar>
            <w:vAlign w:val="center"/>
          </w:tcPr>
          <w:p>
            <w:pPr>
              <w:ind w:left="-153" w:leftChars="-73"/>
              <w:jc w:val="center"/>
              <w:rPr>
                <w:szCs w:val="21"/>
              </w:rPr>
            </w:pPr>
            <w:r>
              <w:rPr>
                <w:szCs w:val="21"/>
              </w:rPr>
              <w:t>备注</w:t>
            </w:r>
          </w:p>
        </w:tc>
        <w:tc>
          <w:tcPr>
            <w:tcW w:w="13796" w:type="dxa"/>
            <w:gridSpan w:val="16"/>
            <w:tcBorders>
              <w:bottom w:val="single" w:color="auto" w:sz="12" w:space="0"/>
            </w:tcBorders>
            <w:tcMar>
              <w:left w:w="28" w:type="dxa"/>
              <w:right w:w="28" w:type="dxa"/>
            </w:tcMar>
            <w:vAlign w:val="center"/>
          </w:tcPr>
          <w:p>
            <w:pPr>
              <w:jc w:val="center"/>
              <w:rPr>
                <w:kern w:val="0"/>
                <w:szCs w:val="21"/>
              </w:rPr>
            </w:pPr>
            <w:r>
              <w:rPr>
                <w:rFonts w:hint="eastAsia"/>
                <w:kern w:val="0"/>
                <w:szCs w:val="21"/>
              </w:rPr>
              <w:t>/</w:t>
            </w:r>
          </w:p>
        </w:tc>
      </w:tr>
    </w:tbl>
    <w:p>
      <w:pPr>
        <w:jc w:val="left"/>
        <w:rPr>
          <w:sz w:val="24"/>
        </w:rPr>
      </w:pPr>
    </w:p>
    <w:p>
      <w:pPr>
        <w:jc w:val="left"/>
        <w:rPr>
          <w:sz w:val="24"/>
        </w:rPr>
      </w:pPr>
    </w:p>
    <w:p>
      <w:pPr>
        <w:jc w:val="left"/>
        <w:rPr>
          <w:sz w:val="24"/>
        </w:rPr>
      </w:pPr>
    </w:p>
    <w:p>
      <w:pPr>
        <w:jc w:val="left"/>
        <w:rPr>
          <w:b/>
          <w:sz w:val="24"/>
        </w:rPr>
      </w:pPr>
      <w:r>
        <w:rPr>
          <w:sz w:val="24"/>
        </w:rPr>
        <w:t xml:space="preserve">续表八                                          </w:t>
      </w:r>
      <w:r>
        <w:rPr>
          <w:b/>
          <w:sz w:val="24"/>
        </w:rPr>
        <w:t>表8-3</w:t>
      </w:r>
      <w:r>
        <w:rPr>
          <w:sz w:val="24"/>
        </w:rPr>
        <w:t xml:space="preserve">  </w:t>
      </w:r>
      <w:r>
        <w:rPr>
          <w:b/>
          <w:sz w:val="24"/>
        </w:rPr>
        <w:t>无组织废气监测结果</w:t>
      </w:r>
    </w:p>
    <w:tbl>
      <w:tblPr>
        <w:tblStyle w:val="18"/>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84"/>
        <w:gridCol w:w="1418"/>
        <w:gridCol w:w="2024"/>
        <w:gridCol w:w="2024"/>
        <w:gridCol w:w="2025"/>
        <w:gridCol w:w="1519"/>
        <w:gridCol w:w="148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59" w:type="dxa"/>
            <w:vMerge w:val="restart"/>
            <w:vAlign w:val="center"/>
          </w:tcPr>
          <w:p>
            <w:pPr>
              <w:jc w:val="center"/>
              <w:rPr>
                <w:b/>
                <w:bCs/>
                <w:szCs w:val="21"/>
              </w:rPr>
            </w:pPr>
            <w:r>
              <w:rPr>
                <w:b/>
                <w:bCs/>
                <w:szCs w:val="21"/>
              </w:rPr>
              <w:t>检测</w:t>
            </w:r>
          </w:p>
          <w:p>
            <w:pPr>
              <w:jc w:val="center"/>
              <w:rPr>
                <w:b/>
                <w:bCs/>
                <w:szCs w:val="21"/>
              </w:rPr>
            </w:pPr>
            <w:r>
              <w:rPr>
                <w:b/>
                <w:bCs/>
                <w:szCs w:val="21"/>
              </w:rPr>
              <w:t>项目</w:t>
            </w:r>
          </w:p>
        </w:tc>
        <w:tc>
          <w:tcPr>
            <w:tcW w:w="1984" w:type="dxa"/>
            <w:vMerge w:val="restart"/>
            <w:vAlign w:val="center"/>
          </w:tcPr>
          <w:p>
            <w:pPr>
              <w:jc w:val="center"/>
              <w:rPr>
                <w:b/>
                <w:bCs/>
                <w:szCs w:val="21"/>
              </w:rPr>
            </w:pPr>
            <w:r>
              <w:rPr>
                <w:b/>
                <w:bCs/>
                <w:szCs w:val="21"/>
              </w:rPr>
              <w:t>检测点位</w:t>
            </w:r>
          </w:p>
        </w:tc>
        <w:tc>
          <w:tcPr>
            <w:tcW w:w="1418" w:type="dxa"/>
            <w:vMerge w:val="restart"/>
            <w:vAlign w:val="center"/>
          </w:tcPr>
          <w:p>
            <w:pPr>
              <w:jc w:val="center"/>
              <w:rPr>
                <w:b/>
                <w:bCs/>
                <w:szCs w:val="21"/>
              </w:rPr>
            </w:pPr>
            <w:r>
              <w:rPr>
                <w:b/>
                <w:bCs/>
                <w:szCs w:val="21"/>
              </w:rPr>
              <w:t>监测日期</w:t>
            </w:r>
          </w:p>
        </w:tc>
        <w:tc>
          <w:tcPr>
            <w:tcW w:w="7592" w:type="dxa"/>
            <w:gridSpan w:val="4"/>
            <w:vAlign w:val="center"/>
          </w:tcPr>
          <w:p>
            <w:pPr>
              <w:jc w:val="center"/>
              <w:rPr>
                <w:b/>
                <w:bCs/>
                <w:szCs w:val="21"/>
              </w:rPr>
            </w:pPr>
            <w:r>
              <w:rPr>
                <w:b/>
                <w:bCs/>
                <w:szCs w:val="21"/>
              </w:rPr>
              <w:t>监测结果（mg/m</w:t>
            </w:r>
            <w:r>
              <w:rPr>
                <w:b/>
                <w:bCs/>
                <w:szCs w:val="21"/>
                <w:vertAlign w:val="superscript"/>
              </w:rPr>
              <w:t>3</w:t>
            </w:r>
            <w:r>
              <w:rPr>
                <w:b/>
                <w:bCs/>
                <w:szCs w:val="21"/>
              </w:rPr>
              <w:t>）</w:t>
            </w:r>
          </w:p>
        </w:tc>
        <w:tc>
          <w:tcPr>
            <w:tcW w:w="1480" w:type="dxa"/>
            <w:vMerge w:val="restart"/>
            <w:vAlign w:val="center"/>
          </w:tcPr>
          <w:p>
            <w:pPr>
              <w:jc w:val="center"/>
              <w:rPr>
                <w:b/>
                <w:bCs/>
                <w:szCs w:val="21"/>
              </w:rPr>
            </w:pPr>
            <w:r>
              <w:rPr>
                <w:b/>
                <w:bCs/>
                <w:szCs w:val="21"/>
              </w:rPr>
              <w:t>标准值</w:t>
            </w:r>
          </w:p>
          <w:p>
            <w:pPr>
              <w:jc w:val="center"/>
              <w:rPr>
                <w:b/>
                <w:bCs/>
                <w:szCs w:val="21"/>
              </w:rPr>
            </w:pPr>
            <w:r>
              <w:rPr>
                <w:b/>
                <w:bCs/>
                <w:szCs w:val="21"/>
              </w:rPr>
              <w:t>（mg/m</w:t>
            </w:r>
            <w:r>
              <w:rPr>
                <w:b/>
                <w:bCs/>
                <w:szCs w:val="21"/>
                <w:vertAlign w:val="superscript"/>
              </w:rPr>
              <w:t>3</w:t>
            </w:r>
            <w:r>
              <w:rPr>
                <w:b/>
                <w:bCs/>
                <w:szCs w:val="21"/>
              </w:rPr>
              <w:t>）</w:t>
            </w:r>
          </w:p>
        </w:tc>
        <w:tc>
          <w:tcPr>
            <w:tcW w:w="850" w:type="dxa"/>
            <w:vMerge w:val="restart"/>
            <w:vAlign w:val="center"/>
          </w:tcPr>
          <w:p>
            <w:pPr>
              <w:jc w:val="center"/>
              <w:rPr>
                <w:b/>
                <w:bCs/>
                <w:szCs w:val="21"/>
              </w:rPr>
            </w:pPr>
            <w:r>
              <w:rPr>
                <w:b/>
                <w:bCs/>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959" w:type="dxa"/>
            <w:vMerge w:val="continue"/>
            <w:vAlign w:val="center"/>
          </w:tcPr>
          <w:p>
            <w:pPr>
              <w:jc w:val="center"/>
              <w:rPr>
                <w:szCs w:val="21"/>
              </w:rPr>
            </w:pPr>
          </w:p>
        </w:tc>
        <w:tc>
          <w:tcPr>
            <w:tcW w:w="1984" w:type="dxa"/>
            <w:vMerge w:val="continue"/>
            <w:vAlign w:val="center"/>
          </w:tcPr>
          <w:p>
            <w:pPr>
              <w:jc w:val="center"/>
              <w:rPr>
                <w:szCs w:val="21"/>
              </w:rPr>
            </w:pPr>
          </w:p>
        </w:tc>
        <w:tc>
          <w:tcPr>
            <w:tcW w:w="1418" w:type="dxa"/>
            <w:vMerge w:val="continue"/>
            <w:vAlign w:val="center"/>
          </w:tcPr>
          <w:p>
            <w:pPr>
              <w:jc w:val="center"/>
              <w:rPr>
                <w:szCs w:val="21"/>
              </w:rPr>
            </w:pPr>
          </w:p>
        </w:tc>
        <w:tc>
          <w:tcPr>
            <w:tcW w:w="2024" w:type="dxa"/>
            <w:vAlign w:val="center"/>
          </w:tcPr>
          <w:p>
            <w:pPr>
              <w:jc w:val="center"/>
              <w:rPr>
                <w:b/>
                <w:bCs/>
                <w:szCs w:val="21"/>
              </w:rPr>
            </w:pPr>
            <w:r>
              <w:rPr>
                <w:b/>
                <w:bCs/>
                <w:szCs w:val="21"/>
              </w:rPr>
              <w:t>第一次</w:t>
            </w:r>
          </w:p>
        </w:tc>
        <w:tc>
          <w:tcPr>
            <w:tcW w:w="2024" w:type="dxa"/>
            <w:vAlign w:val="center"/>
          </w:tcPr>
          <w:p>
            <w:pPr>
              <w:jc w:val="center"/>
              <w:rPr>
                <w:b/>
                <w:bCs/>
                <w:szCs w:val="21"/>
              </w:rPr>
            </w:pPr>
            <w:r>
              <w:rPr>
                <w:b/>
                <w:bCs/>
                <w:szCs w:val="21"/>
              </w:rPr>
              <w:t>第二次</w:t>
            </w:r>
          </w:p>
        </w:tc>
        <w:tc>
          <w:tcPr>
            <w:tcW w:w="2025" w:type="dxa"/>
            <w:vAlign w:val="center"/>
          </w:tcPr>
          <w:p>
            <w:pPr>
              <w:jc w:val="center"/>
              <w:rPr>
                <w:b/>
                <w:bCs/>
                <w:szCs w:val="21"/>
              </w:rPr>
            </w:pPr>
            <w:r>
              <w:rPr>
                <w:b/>
                <w:bCs/>
                <w:szCs w:val="21"/>
              </w:rPr>
              <w:t>第三次</w:t>
            </w:r>
          </w:p>
        </w:tc>
        <w:tc>
          <w:tcPr>
            <w:tcW w:w="1519" w:type="dxa"/>
            <w:vAlign w:val="center"/>
          </w:tcPr>
          <w:p>
            <w:pPr>
              <w:jc w:val="center"/>
              <w:rPr>
                <w:b/>
                <w:bCs/>
                <w:szCs w:val="21"/>
              </w:rPr>
            </w:pPr>
            <w:r>
              <w:rPr>
                <w:b/>
                <w:bCs/>
                <w:szCs w:val="21"/>
              </w:rPr>
              <w:t>最大值</w:t>
            </w:r>
          </w:p>
        </w:tc>
        <w:tc>
          <w:tcPr>
            <w:tcW w:w="1480" w:type="dxa"/>
            <w:vMerge w:val="continue"/>
            <w:vAlign w:val="center"/>
          </w:tcPr>
          <w:p>
            <w:pPr>
              <w:jc w:val="center"/>
              <w:rPr>
                <w:szCs w:val="21"/>
              </w:rPr>
            </w:pP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restart"/>
            <w:vAlign w:val="center"/>
          </w:tcPr>
          <w:p>
            <w:pPr>
              <w:jc w:val="center"/>
              <w:rPr>
                <w:szCs w:val="21"/>
              </w:rPr>
            </w:pPr>
            <w:r>
              <w:rPr>
                <w:szCs w:val="21"/>
              </w:rPr>
              <w:t>非甲烷总烃</w:t>
            </w:r>
          </w:p>
        </w:tc>
        <w:tc>
          <w:tcPr>
            <w:tcW w:w="1984" w:type="dxa"/>
            <w:vAlign w:val="center"/>
          </w:tcPr>
          <w:p>
            <w:pPr>
              <w:widowControl/>
              <w:jc w:val="center"/>
              <w:rPr>
                <w:szCs w:val="21"/>
              </w:rPr>
            </w:pPr>
            <w:r>
              <w:rPr>
                <w:szCs w:val="21"/>
              </w:rPr>
              <w:t>上风向对照点G1</w:t>
            </w:r>
          </w:p>
        </w:tc>
        <w:tc>
          <w:tcPr>
            <w:tcW w:w="1418" w:type="dxa"/>
            <w:vMerge w:val="restart"/>
            <w:vAlign w:val="center"/>
          </w:tcPr>
          <w:p>
            <w:pPr>
              <w:jc w:val="center"/>
              <w:rPr>
                <w:kern w:val="24"/>
                <w:szCs w:val="21"/>
              </w:rPr>
            </w:pPr>
            <w:r>
              <w:rPr>
                <w:kern w:val="24"/>
                <w:szCs w:val="21"/>
              </w:rPr>
              <w:t>2019年</w:t>
            </w:r>
          </w:p>
          <w:p>
            <w:pPr>
              <w:jc w:val="center"/>
              <w:rPr>
                <w:kern w:val="24"/>
                <w:szCs w:val="21"/>
              </w:rPr>
            </w:pPr>
            <w:r>
              <w:rPr>
                <w:kern w:val="24"/>
                <w:szCs w:val="21"/>
              </w:rPr>
              <w:t>3月20日</w:t>
            </w:r>
          </w:p>
        </w:tc>
        <w:tc>
          <w:tcPr>
            <w:tcW w:w="2024" w:type="dxa"/>
            <w:vAlign w:val="center"/>
          </w:tcPr>
          <w:p>
            <w:pPr>
              <w:jc w:val="center"/>
              <w:rPr>
                <w:szCs w:val="21"/>
              </w:rPr>
            </w:pPr>
            <w:r>
              <w:rPr>
                <w:rFonts w:hint="eastAsia"/>
                <w:szCs w:val="21"/>
              </w:rPr>
              <w:t>0.34</w:t>
            </w:r>
          </w:p>
        </w:tc>
        <w:tc>
          <w:tcPr>
            <w:tcW w:w="2024" w:type="dxa"/>
            <w:vAlign w:val="center"/>
          </w:tcPr>
          <w:p>
            <w:pPr>
              <w:jc w:val="center"/>
              <w:rPr>
                <w:szCs w:val="21"/>
              </w:rPr>
            </w:pPr>
            <w:r>
              <w:rPr>
                <w:rFonts w:hint="eastAsia"/>
                <w:szCs w:val="21"/>
              </w:rPr>
              <w:t>0.33</w:t>
            </w:r>
          </w:p>
        </w:tc>
        <w:tc>
          <w:tcPr>
            <w:tcW w:w="2025" w:type="dxa"/>
            <w:vAlign w:val="center"/>
          </w:tcPr>
          <w:p>
            <w:pPr>
              <w:jc w:val="center"/>
              <w:rPr>
                <w:szCs w:val="21"/>
              </w:rPr>
            </w:pPr>
            <w:r>
              <w:rPr>
                <w:rFonts w:hint="eastAsia"/>
                <w:szCs w:val="21"/>
              </w:rPr>
              <w:t>0.30</w:t>
            </w:r>
          </w:p>
        </w:tc>
        <w:tc>
          <w:tcPr>
            <w:tcW w:w="1519" w:type="dxa"/>
            <w:vAlign w:val="center"/>
          </w:tcPr>
          <w:p>
            <w:pPr>
              <w:jc w:val="center"/>
              <w:rPr>
                <w:szCs w:val="21"/>
              </w:rPr>
            </w:pPr>
            <w:r>
              <w:rPr>
                <w:szCs w:val="21"/>
              </w:rPr>
              <w:t>/</w:t>
            </w:r>
          </w:p>
        </w:tc>
        <w:tc>
          <w:tcPr>
            <w:tcW w:w="1480" w:type="dxa"/>
            <w:vAlign w:val="center"/>
          </w:tcPr>
          <w:p>
            <w:pPr>
              <w:jc w:val="center"/>
              <w:rPr>
                <w:szCs w:val="21"/>
              </w:rPr>
            </w:pPr>
            <w:r>
              <w:rPr>
                <w:szCs w:val="21"/>
              </w:rPr>
              <w:t>/</w:t>
            </w:r>
          </w:p>
        </w:tc>
        <w:tc>
          <w:tcPr>
            <w:tcW w:w="850"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下风向监测点G2</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0.58</w:t>
            </w:r>
          </w:p>
        </w:tc>
        <w:tc>
          <w:tcPr>
            <w:tcW w:w="2024" w:type="dxa"/>
            <w:vAlign w:val="center"/>
          </w:tcPr>
          <w:p>
            <w:pPr>
              <w:jc w:val="center"/>
              <w:rPr>
                <w:szCs w:val="21"/>
              </w:rPr>
            </w:pPr>
            <w:r>
              <w:rPr>
                <w:rFonts w:hint="eastAsia"/>
                <w:szCs w:val="21"/>
              </w:rPr>
              <w:t>0.51</w:t>
            </w:r>
          </w:p>
        </w:tc>
        <w:tc>
          <w:tcPr>
            <w:tcW w:w="2025" w:type="dxa"/>
            <w:vAlign w:val="center"/>
          </w:tcPr>
          <w:p>
            <w:pPr>
              <w:jc w:val="center"/>
              <w:rPr>
                <w:szCs w:val="21"/>
              </w:rPr>
            </w:pPr>
            <w:r>
              <w:rPr>
                <w:rFonts w:hint="eastAsia"/>
                <w:szCs w:val="21"/>
              </w:rPr>
              <w:t>0.50</w:t>
            </w:r>
          </w:p>
        </w:tc>
        <w:tc>
          <w:tcPr>
            <w:tcW w:w="1519" w:type="dxa"/>
            <w:vMerge w:val="restart"/>
            <w:vAlign w:val="center"/>
          </w:tcPr>
          <w:p>
            <w:pPr>
              <w:jc w:val="center"/>
              <w:rPr>
                <w:szCs w:val="21"/>
              </w:rPr>
            </w:pPr>
            <w:r>
              <w:rPr>
                <w:rFonts w:hint="eastAsia"/>
                <w:szCs w:val="21"/>
              </w:rPr>
              <w:t>0.58</w:t>
            </w:r>
          </w:p>
        </w:tc>
        <w:tc>
          <w:tcPr>
            <w:tcW w:w="1480" w:type="dxa"/>
            <w:vMerge w:val="restart"/>
            <w:vAlign w:val="center"/>
          </w:tcPr>
          <w:p>
            <w:pPr>
              <w:jc w:val="center"/>
              <w:rPr>
                <w:szCs w:val="21"/>
              </w:rPr>
            </w:pPr>
            <w:r>
              <w:rPr>
                <w:szCs w:val="21"/>
              </w:rPr>
              <w:t>4.0</w:t>
            </w:r>
          </w:p>
        </w:tc>
        <w:tc>
          <w:tcPr>
            <w:tcW w:w="850" w:type="dxa"/>
            <w:vMerge w:val="restart"/>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下风向监测点G3</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0.35</w:t>
            </w:r>
          </w:p>
        </w:tc>
        <w:tc>
          <w:tcPr>
            <w:tcW w:w="2024" w:type="dxa"/>
            <w:vAlign w:val="center"/>
          </w:tcPr>
          <w:p>
            <w:pPr>
              <w:jc w:val="center"/>
              <w:rPr>
                <w:szCs w:val="21"/>
              </w:rPr>
            </w:pPr>
            <w:r>
              <w:rPr>
                <w:rFonts w:hint="eastAsia"/>
                <w:szCs w:val="21"/>
              </w:rPr>
              <w:t>0.44</w:t>
            </w:r>
          </w:p>
        </w:tc>
        <w:tc>
          <w:tcPr>
            <w:tcW w:w="2025" w:type="dxa"/>
            <w:vAlign w:val="center"/>
          </w:tcPr>
          <w:p>
            <w:pPr>
              <w:jc w:val="center"/>
              <w:rPr>
                <w:szCs w:val="21"/>
              </w:rPr>
            </w:pPr>
            <w:r>
              <w:rPr>
                <w:rFonts w:hint="eastAsia"/>
                <w:szCs w:val="21"/>
              </w:rPr>
              <w:t>0.57</w:t>
            </w:r>
          </w:p>
        </w:tc>
        <w:tc>
          <w:tcPr>
            <w:tcW w:w="1519" w:type="dxa"/>
            <w:vMerge w:val="continue"/>
            <w:vAlign w:val="center"/>
          </w:tcPr>
          <w:p>
            <w:pPr>
              <w:jc w:val="center"/>
              <w:rPr>
                <w:szCs w:val="21"/>
              </w:rPr>
            </w:pPr>
          </w:p>
        </w:tc>
        <w:tc>
          <w:tcPr>
            <w:tcW w:w="1480" w:type="dxa"/>
            <w:vMerge w:val="continue"/>
            <w:vAlign w:val="center"/>
          </w:tcPr>
          <w:p>
            <w:pPr>
              <w:jc w:val="center"/>
              <w:rPr>
                <w:szCs w:val="21"/>
              </w:rPr>
            </w:pP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下风向监测点G4</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0.52</w:t>
            </w:r>
          </w:p>
        </w:tc>
        <w:tc>
          <w:tcPr>
            <w:tcW w:w="2024" w:type="dxa"/>
            <w:vAlign w:val="center"/>
          </w:tcPr>
          <w:p>
            <w:pPr>
              <w:jc w:val="center"/>
              <w:rPr>
                <w:szCs w:val="21"/>
              </w:rPr>
            </w:pPr>
            <w:r>
              <w:rPr>
                <w:rFonts w:hint="eastAsia"/>
                <w:szCs w:val="21"/>
              </w:rPr>
              <w:t>0.54</w:t>
            </w:r>
          </w:p>
        </w:tc>
        <w:tc>
          <w:tcPr>
            <w:tcW w:w="2025" w:type="dxa"/>
            <w:vAlign w:val="center"/>
          </w:tcPr>
          <w:p>
            <w:pPr>
              <w:jc w:val="center"/>
              <w:rPr>
                <w:szCs w:val="21"/>
              </w:rPr>
            </w:pPr>
            <w:r>
              <w:rPr>
                <w:rFonts w:hint="eastAsia"/>
                <w:szCs w:val="21"/>
              </w:rPr>
              <w:t>0.34</w:t>
            </w:r>
          </w:p>
        </w:tc>
        <w:tc>
          <w:tcPr>
            <w:tcW w:w="1519" w:type="dxa"/>
            <w:vMerge w:val="continue"/>
            <w:vAlign w:val="center"/>
          </w:tcPr>
          <w:p>
            <w:pPr>
              <w:jc w:val="center"/>
              <w:rPr>
                <w:szCs w:val="21"/>
              </w:rPr>
            </w:pPr>
          </w:p>
        </w:tc>
        <w:tc>
          <w:tcPr>
            <w:tcW w:w="1480" w:type="dxa"/>
            <w:vMerge w:val="continue"/>
            <w:vAlign w:val="center"/>
          </w:tcPr>
          <w:p>
            <w:pPr>
              <w:jc w:val="center"/>
              <w:rPr>
                <w:szCs w:val="21"/>
              </w:rPr>
            </w:pP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上风向对照点G1</w:t>
            </w:r>
          </w:p>
        </w:tc>
        <w:tc>
          <w:tcPr>
            <w:tcW w:w="1418" w:type="dxa"/>
            <w:vMerge w:val="restart"/>
            <w:vAlign w:val="center"/>
          </w:tcPr>
          <w:p>
            <w:pPr>
              <w:jc w:val="center"/>
              <w:rPr>
                <w:kern w:val="24"/>
                <w:szCs w:val="21"/>
              </w:rPr>
            </w:pPr>
            <w:r>
              <w:rPr>
                <w:kern w:val="24"/>
                <w:szCs w:val="21"/>
              </w:rPr>
              <w:t>2019年</w:t>
            </w:r>
          </w:p>
          <w:p>
            <w:pPr>
              <w:jc w:val="center"/>
              <w:rPr>
                <w:kern w:val="24"/>
                <w:szCs w:val="21"/>
              </w:rPr>
            </w:pPr>
            <w:r>
              <w:rPr>
                <w:kern w:val="24"/>
                <w:szCs w:val="21"/>
              </w:rPr>
              <w:t>3月21日</w:t>
            </w:r>
          </w:p>
        </w:tc>
        <w:tc>
          <w:tcPr>
            <w:tcW w:w="2024" w:type="dxa"/>
            <w:vAlign w:val="center"/>
          </w:tcPr>
          <w:p>
            <w:pPr>
              <w:jc w:val="center"/>
              <w:rPr>
                <w:szCs w:val="21"/>
              </w:rPr>
            </w:pPr>
            <w:r>
              <w:rPr>
                <w:rFonts w:hint="eastAsia"/>
                <w:szCs w:val="21"/>
              </w:rPr>
              <w:t>0.37</w:t>
            </w:r>
          </w:p>
        </w:tc>
        <w:tc>
          <w:tcPr>
            <w:tcW w:w="2024" w:type="dxa"/>
            <w:vAlign w:val="center"/>
          </w:tcPr>
          <w:p>
            <w:pPr>
              <w:jc w:val="center"/>
              <w:rPr>
                <w:szCs w:val="21"/>
              </w:rPr>
            </w:pPr>
            <w:r>
              <w:rPr>
                <w:rFonts w:hint="eastAsia"/>
                <w:szCs w:val="21"/>
              </w:rPr>
              <w:t>0.37</w:t>
            </w:r>
          </w:p>
        </w:tc>
        <w:tc>
          <w:tcPr>
            <w:tcW w:w="2025" w:type="dxa"/>
            <w:vAlign w:val="center"/>
          </w:tcPr>
          <w:p>
            <w:pPr>
              <w:jc w:val="center"/>
              <w:rPr>
                <w:szCs w:val="21"/>
              </w:rPr>
            </w:pPr>
            <w:r>
              <w:rPr>
                <w:rFonts w:hint="eastAsia"/>
                <w:szCs w:val="21"/>
              </w:rPr>
              <w:t>0.48</w:t>
            </w:r>
          </w:p>
        </w:tc>
        <w:tc>
          <w:tcPr>
            <w:tcW w:w="1519" w:type="dxa"/>
            <w:vAlign w:val="center"/>
          </w:tcPr>
          <w:p>
            <w:pPr>
              <w:jc w:val="center"/>
              <w:rPr>
                <w:szCs w:val="21"/>
              </w:rPr>
            </w:pPr>
            <w:r>
              <w:rPr>
                <w:rFonts w:hint="eastAsia"/>
                <w:szCs w:val="21"/>
              </w:rPr>
              <w:t>/</w:t>
            </w:r>
          </w:p>
        </w:tc>
        <w:tc>
          <w:tcPr>
            <w:tcW w:w="1480" w:type="dxa"/>
            <w:vAlign w:val="center"/>
          </w:tcPr>
          <w:p>
            <w:pPr>
              <w:jc w:val="center"/>
              <w:rPr>
                <w:szCs w:val="21"/>
              </w:rPr>
            </w:pPr>
            <w:r>
              <w:rPr>
                <w:szCs w:val="21"/>
              </w:rPr>
              <w:t>/</w:t>
            </w:r>
          </w:p>
        </w:tc>
        <w:tc>
          <w:tcPr>
            <w:tcW w:w="850" w:type="dxa"/>
            <w:vAlign w:val="center"/>
          </w:tcPr>
          <w:p>
            <w:pPr>
              <w:jc w:val="center"/>
              <w:rPr>
                <w:szCs w:val="21"/>
              </w:rPr>
            </w:pP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下风向监测点G2</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0.59</w:t>
            </w:r>
          </w:p>
        </w:tc>
        <w:tc>
          <w:tcPr>
            <w:tcW w:w="2024" w:type="dxa"/>
            <w:vAlign w:val="center"/>
          </w:tcPr>
          <w:p>
            <w:pPr>
              <w:jc w:val="center"/>
              <w:rPr>
                <w:szCs w:val="21"/>
              </w:rPr>
            </w:pPr>
            <w:r>
              <w:rPr>
                <w:rFonts w:hint="eastAsia"/>
                <w:szCs w:val="21"/>
              </w:rPr>
              <w:t>0.59</w:t>
            </w:r>
          </w:p>
        </w:tc>
        <w:tc>
          <w:tcPr>
            <w:tcW w:w="2025" w:type="dxa"/>
            <w:vAlign w:val="center"/>
          </w:tcPr>
          <w:p>
            <w:pPr>
              <w:jc w:val="center"/>
              <w:rPr>
                <w:szCs w:val="21"/>
              </w:rPr>
            </w:pPr>
            <w:r>
              <w:rPr>
                <w:rFonts w:hint="eastAsia"/>
                <w:szCs w:val="21"/>
              </w:rPr>
              <w:t>0.60</w:t>
            </w:r>
          </w:p>
        </w:tc>
        <w:tc>
          <w:tcPr>
            <w:tcW w:w="1519" w:type="dxa"/>
            <w:vMerge w:val="restart"/>
            <w:vAlign w:val="center"/>
          </w:tcPr>
          <w:p>
            <w:pPr>
              <w:jc w:val="center"/>
              <w:rPr>
                <w:szCs w:val="21"/>
              </w:rPr>
            </w:pPr>
            <w:r>
              <w:rPr>
                <w:rFonts w:hint="eastAsia"/>
                <w:szCs w:val="21"/>
              </w:rPr>
              <w:t>0.62</w:t>
            </w:r>
          </w:p>
        </w:tc>
        <w:tc>
          <w:tcPr>
            <w:tcW w:w="1480" w:type="dxa"/>
            <w:vMerge w:val="restart"/>
            <w:vAlign w:val="center"/>
          </w:tcPr>
          <w:p>
            <w:pPr>
              <w:jc w:val="center"/>
              <w:rPr>
                <w:szCs w:val="21"/>
              </w:rPr>
            </w:pPr>
            <w:r>
              <w:rPr>
                <w:szCs w:val="21"/>
              </w:rPr>
              <w:t>4.0</w:t>
            </w:r>
          </w:p>
        </w:tc>
        <w:tc>
          <w:tcPr>
            <w:tcW w:w="850" w:type="dxa"/>
            <w:vMerge w:val="restart"/>
            <w:vAlign w:val="center"/>
          </w:tcPr>
          <w:p>
            <w:pPr>
              <w:jc w:val="center"/>
              <w:rPr>
                <w:szCs w:val="21"/>
              </w:rPr>
            </w:pPr>
            <w:r>
              <w:rPr>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下风向监测点G3</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0.62</w:t>
            </w:r>
          </w:p>
        </w:tc>
        <w:tc>
          <w:tcPr>
            <w:tcW w:w="2024" w:type="dxa"/>
            <w:vAlign w:val="center"/>
          </w:tcPr>
          <w:p>
            <w:pPr>
              <w:jc w:val="center"/>
              <w:rPr>
                <w:szCs w:val="21"/>
              </w:rPr>
            </w:pPr>
            <w:r>
              <w:rPr>
                <w:rFonts w:hint="eastAsia"/>
                <w:szCs w:val="21"/>
              </w:rPr>
              <w:t>0.44</w:t>
            </w:r>
          </w:p>
        </w:tc>
        <w:tc>
          <w:tcPr>
            <w:tcW w:w="2025" w:type="dxa"/>
            <w:vAlign w:val="center"/>
          </w:tcPr>
          <w:p>
            <w:pPr>
              <w:jc w:val="center"/>
              <w:rPr>
                <w:szCs w:val="21"/>
              </w:rPr>
            </w:pPr>
            <w:r>
              <w:rPr>
                <w:rFonts w:hint="eastAsia"/>
                <w:szCs w:val="21"/>
              </w:rPr>
              <w:t>0.51</w:t>
            </w:r>
          </w:p>
        </w:tc>
        <w:tc>
          <w:tcPr>
            <w:tcW w:w="1519" w:type="dxa"/>
            <w:vMerge w:val="continue"/>
            <w:vAlign w:val="center"/>
          </w:tcPr>
          <w:p>
            <w:pPr>
              <w:jc w:val="center"/>
              <w:rPr>
                <w:szCs w:val="21"/>
              </w:rPr>
            </w:pPr>
          </w:p>
        </w:tc>
        <w:tc>
          <w:tcPr>
            <w:tcW w:w="1480" w:type="dxa"/>
            <w:vMerge w:val="continue"/>
            <w:vAlign w:val="center"/>
          </w:tcPr>
          <w:p>
            <w:pPr>
              <w:jc w:val="center"/>
              <w:rPr>
                <w:szCs w:val="21"/>
              </w:rPr>
            </w:pP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trPr>
        <w:tc>
          <w:tcPr>
            <w:tcW w:w="959" w:type="dxa"/>
            <w:vMerge w:val="continue"/>
            <w:vAlign w:val="center"/>
          </w:tcPr>
          <w:p>
            <w:pPr>
              <w:jc w:val="center"/>
              <w:rPr>
                <w:szCs w:val="21"/>
              </w:rPr>
            </w:pPr>
          </w:p>
        </w:tc>
        <w:tc>
          <w:tcPr>
            <w:tcW w:w="1984" w:type="dxa"/>
            <w:vAlign w:val="center"/>
          </w:tcPr>
          <w:p>
            <w:pPr>
              <w:widowControl/>
              <w:jc w:val="center"/>
              <w:rPr>
                <w:szCs w:val="21"/>
              </w:rPr>
            </w:pPr>
            <w:r>
              <w:rPr>
                <w:szCs w:val="21"/>
              </w:rPr>
              <w:t>下风向监测点G4</w:t>
            </w:r>
          </w:p>
        </w:tc>
        <w:tc>
          <w:tcPr>
            <w:tcW w:w="1418" w:type="dxa"/>
            <w:vMerge w:val="continue"/>
            <w:vAlign w:val="center"/>
          </w:tcPr>
          <w:p>
            <w:pPr>
              <w:jc w:val="center"/>
              <w:rPr>
                <w:kern w:val="24"/>
                <w:szCs w:val="21"/>
              </w:rPr>
            </w:pPr>
          </w:p>
        </w:tc>
        <w:tc>
          <w:tcPr>
            <w:tcW w:w="2024" w:type="dxa"/>
            <w:vAlign w:val="center"/>
          </w:tcPr>
          <w:p>
            <w:pPr>
              <w:jc w:val="center"/>
              <w:rPr>
                <w:szCs w:val="21"/>
              </w:rPr>
            </w:pPr>
            <w:r>
              <w:rPr>
                <w:rFonts w:hint="eastAsia"/>
                <w:szCs w:val="21"/>
              </w:rPr>
              <w:t>0.51</w:t>
            </w:r>
          </w:p>
        </w:tc>
        <w:tc>
          <w:tcPr>
            <w:tcW w:w="2024" w:type="dxa"/>
            <w:vAlign w:val="center"/>
          </w:tcPr>
          <w:p>
            <w:pPr>
              <w:jc w:val="center"/>
              <w:rPr>
                <w:szCs w:val="21"/>
              </w:rPr>
            </w:pPr>
            <w:r>
              <w:rPr>
                <w:rFonts w:hint="eastAsia"/>
                <w:szCs w:val="21"/>
              </w:rPr>
              <w:t>0.57</w:t>
            </w:r>
          </w:p>
        </w:tc>
        <w:tc>
          <w:tcPr>
            <w:tcW w:w="2025" w:type="dxa"/>
            <w:vAlign w:val="center"/>
          </w:tcPr>
          <w:p>
            <w:pPr>
              <w:jc w:val="center"/>
              <w:rPr>
                <w:szCs w:val="21"/>
              </w:rPr>
            </w:pPr>
            <w:r>
              <w:rPr>
                <w:rFonts w:hint="eastAsia"/>
                <w:szCs w:val="21"/>
              </w:rPr>
              <w:t>0.55</w:t>
            </w:r>
          </w:p>
        </w:tc>
        <w:tc>
          <w:tcPr>
            <w:tcW w:w="1519" w:type="dxa"/>
            <w:vMerge w:val="continue"/>
            <w:vAlign w:val="center"/>
          </w:tcPr>
          <w:p>
            <w:pPr>
              <w:jc w:val="center"/>
              <w:rPr>
                <w:szCs w:val="21"/>
              </w:rPr>
            </w:pPr>
          </w:p>
        </w:tc>
        <w:tc>
          <w:tcPr>
            <w:tcW w:w="1480" w:type="dxa"/>
            <w:vMerge w:val="continue"/>
            <w:vAlign w:val="center"/>
          </w:tcPr>
          <w:p>
            <w:pPr>
              <w:jc w:val="center"/>
              <w:rPr>
                <w:szCs w:val="21"/>
              </w:rPr>
            </w:pPr>
          </w:p>
        </w:tc>
        <w:tc>
          <w:tcPr>
            <w:tcW w:w="850" w:type="dxa"/>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959" w:type="dxa"/>
            <w:vAlign w:val="center"/>
          </w:tcPr>
          <w:p>
            <w:pPr>
              <w:jc w:val="center"/>
              <w:rPr>
                <w:szCs w:val="21"/>
              </w:rPr>
            </w:pPr>
            <w:r>
              <w:rPr>
                <w:szCs w:val="21"/>
              </w:rPr>
              <w:t>备注</w:t>
            </w:r>
          </w:p>
        </w:tc>
        <w:tc>
          <w:tcPr>
            <w:tcW w:w="13324" w:type="dxa"/>
            <w:gridSpan w:val="8"/>
            <w:vAlign w:val="center"/>
          </w:tcPr>
          <w:p>
            <w:pPr>
              <w:jc w:val="center"/>
              <w:rPr>
                <w:szCs w:val="21"/>
              </w:rPr>
            </w:pPr>
            <w:r>
              <w:rPr>
                <w:szCs w:val="21"/>
              </w:rPr>
              <w:t>/</w:t>
            </w:r>
          </w:p>
        </w:tc>
      </w:tr>
    </w:tbl>
    <w:p>
      <w:pPr>
        <w:ind w:firstLine="5985" w:firstLineChars="2484"/>
        <w:jc w:val="left"/>
        <w:rPr>
          <w:b/>
          <w:sz w:val="24"/>
        </w:rPr>
      </w:pPr>
    </w:p>
    <w:p>
      <w:pPr>
        <w:widowControl/>
        <w:jc w:val="left"/>
        <w:rPr>
          <w:sz w:val="24"/>
        </w:rPr>
      </w:pPr>
    </w:p>
    <w:p>
      <w:pPr>
        <w:jc w:val="center"/>
        <w:rPr>
          <w:b/>
          <w:sz w:val="24"/>
        </w:rPr>
        <w:sectPr>
          <w:footerReference r:id="rId7" w:type="default"/>
          <w:pgSz w:w="16838" w:h="11906" w:orient="landscape"/>
          <w:pgMar w:top="1803" w:right="1276" w:bottom="1803" w:left="1276" w:header="851" w:footer="851" w:gutter="0"/>
          <w:cols w:space="720" w:num="1"/>
          <w:docGrid w:linePitch="312" w:charSpace="0"/>
        </w:sectPr>
      </w:pPr>
    </w:p>
    <w:p>
      <w:pPr>
        <w:jc w:val="left"/>
        <w:rPr>
          <w:b/>
          <w:sz w:val="24"/>
        </w:rPr>
      </w:pPr>
      <w:r>
        <w:rPr>
          <w:sz w:val="24"/>
        </w:rPr>
        <w:t xml:space="preserve">续表八                 </w:t>
      </w:r>
      <w:r>
        <w:rPr>
          <w:b/>
          <w:sz w:val="24"/>
        </w:rPr>
        <w:t>表8-4  噪声监测结果</w:t>
      </w:r>
    </w:p>
    <w:p>
      <w:pPr>
        <w:jc w:val="right"/>
        <w:rPr>
          <w:b/>
          <w:sz w:val="24"/>
        </w:rPr>
      </w:pPr>
      <w:r>
        <w:rPr>
          <w:sz w:val="18"/>
          <w:szCs w:val="18"/>
        </w:rPr>
        <w:t>单位：Leq，dB（A）</w:t>
      </w:r>
    </w:p>
    <w:tbl>
      <w:tblPr>
        <w:tblStyle w:val="18"/>
        <w:tblW w:w="9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8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5" w:hRule="atLeast"/>
          <w:jc w:val="center"/>
        </w:trPr>
        <w:tc>
          <w:tcPr>
            <w:tcW w:w="690" w:type="dxa"/>
            <w:textDirection w:val="tbRlV"/>
            <w:vAlign w:val="center"/>
          </w:tcPr>
          <w:p>
            <w:pPr>
              <w:ind w:left="113" w:right="113"/>
              <w:jc w:val="center"/>
              <w:rPr>
                <w:sz w:val="24"/>
              </w:rPr>
            </w:pPr>
            <w:r>
              <w:rPr>
                <w:sz w:val="24"/>
              </w:rPr>
              <w:t>噪声监测结果</w:t>
            </w:r>
          </w:p>
        </w:tc>
        <w:tc>
          <w:tcPr>
            <w:tcW w:w="8393" w:type="dxa"/>
          </w:tcPr>
          <w:p>
            <w:pPr>
              <w:jc w:val="right"/>
              <w:rPr>
                <w:b/>
                <w:sz w:val="24"/>
              </w:rPr>
            </w:pPr>
          </w:p>
          <w:tbl>
            <w:tblPr>
              <w:tblStyle w:val="18"/>
              <w:tblW w:w="817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992"/>
              <w:gridCol w:w="1339"/>
              <w:gridCol w:w="1341"/>
              <w:gridCol w:w="1341"/>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2818" w:type="dxa"/>
                  <w:gridSpan w:val="2"/>
                  <w:tcBorders>
                    <w:top w:val="single" w:color="auto" w:sz="12" w:space="0"/>
                    <w:left w:val="nil"/>
                    <w:bottom w:val="single" w:color="auto" w:sz="4" w:space="0"/>
                    <w:right w:val="single" w:color="auto" w:sz="4" w:space="0"/>
                  </w:tcBorders>
                  <w:vAlign w:val="center"/>
                </w:tcPr>
                <w:p>
                  <w:pPr>
                    <w:snapToGrid w:val="0"/>
                    <w:spacing w:line="240" w:lineRule="atLeast"/>
                    <w:ind w:left="-105" w:leftChars="-50" w:right="-130" w:rightChars="-62"/>
                    <w:jc w:val="center"/>
                    <w:rPr>
                      <w:b/>
                      <w:bCs/>
                      <w:szCs w:val="21"/>
                    </w:rPr>
                  </w:pPr>
                  <w:bookmarkStart w:id="6" w:name="_Toc100575313"/>
                  <w:r>
                    <w:rPr>
                      <w:b/>
                      <w:bCs/>
                      <w:szCs w:val="21"/>
                    </w:rPr>
                    <w:t>监测点位</w:t>
                  </w:r>
                  <w:bookmarkEnd w:id="6"/>
                </w:p>
              </w:tc>
              <w:tc>
                <w:tcPr>
                  <w:tcW w:w="2680" w:type="dxa"/>
                  <w:gridSpan w:val="2"/>
                  <w:tcBorders>
                    <w:top w:val="single" w:color="auto" w:sz="12" w:space="0"/>
                    <w:left w:val="single" w:color="auto" w:sz="4" w:space="0"/>
                    <w:bottom w:val="single" w:color="auto" w:sz="4" w:space="0"/>
                    <w:right w:val="single" w:color="auto" w:sz="4" w:space="0"/>
                  </w:tcBorders>
                  <w:vAlign w:val="center"/>
                </w:tcPr>
                <w:p>
                  <w:pPr>
                    <w:snapToGrid w:val="0"/>
                    <w:spacing w:line="240" w:lineRule="atLeast"/>
                    <w:ind w:left="-105" w:leftChars="-50" w:right="-130" w:rightChars="-62"/>
                    <w:jc w:val="center"/>
                    <w:rPr>
                      <w:b/>
                      <w:bCs/>
                      <w:szCs w:val="21"/>
                    </w:rPr>
                  </w:pPr>
                  <w:r>
                    <w:rPr>
                      <w:b/>
                      <w:bCs/>
                      <w:szCs w:val="21"/>
                    </w:rPr>
                    <w:t>2019年3月20日</w:t>
                  </w:r>
                </w:p>
              </w:tc>
              <w:tc>
                <w:tcPr>
                  <w:tcW w:w="2679" w:type="dxa"/>
                  <w:gridSpan w:val="2"/>
                  <w:tcBorders>
                    <w:top w:val="single" w:color="auto" w:sz="12" w:space="0"/>
                    <w:left w:val="single" w:color="auto" w:sz="4" w:space="0"/>
                    <w:bottom w:val="single" w:color="auto" w:sz="4" w:space="0"/>
                    <w:right w:val="nil"/>
                  </w:tcBorders>
                  <w:vAlign w:val="center"/>
                </w:tcPr>
                <w:p>
                  <w:pPr>
                    <w:snapToGrid w:val="0"/>
                    <w:spacing w:line="240" w:lineRule="atLeast"/>
                    <w:ind w:left="-105" w:leftChars="-50" w:right="-130" w:rightChars="-62"/>
                    <w:jc w:val="center"/>
                    <w:rPr>
                      <w:b/>
                      <w:bCs/>
                      <w:szCs w:val="21"/>
                    </w:rPr>
                  </w:pPr>
                  <w:r>
                    <w:rPr>
                      <w:b/>
                      <w:bCs/>
                      <w:szCs w:val="21"/>
                    </w:rPr>
                    <w:t>2019年3月21日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826" w:type="dxa"/>
                  <w:tcBorders>
                    <w:top w:val="single" w:color="auto" w:sz="4" w:space="0"/>
                    <w:left w:val="nil"/>
                    <w:bottom w:val="single" w:color="auto" w:sz="4" w:space="0"/>
                    <w:right w:val="single" w:color="auto" w:sz="4" w:space="0"/>
                  </w:tcBorders>
                  <w:vAlign w:val="center"/>
                </w:tcPr>
                <w:p>
                  <w:pPr>
                    <w:jc w:val="center"/>
                    <w:rPr>
                      <w:b/>
                      <w:bCs/>
                      <w:szCs w:val="21"/>
                    </w:rPr>
                  </w:pPr>
                  <w:r>
                    <w:rPr>
                      <w:b/>
                      <w:bCs/>
                      <w:szCs w:val="21"/>
                    </w:rPr>
                    <w:t>编号</w:t>
                  </w:r>
                </w:p>
              </w:tc>
              <w:tc>
                <w:tcPr>
                  <w:tcW w:w="1992" w:type="dxa"/>
                  <w:tcBorders>
                    <w:top w:val="single" w:color="auto" w:sz="4" w:space="0"/>
                    <w:left w:val="nil"/>
                    <w:bottom w:val="single" w:color="auto" w:sz="4" w:space="0"/>
                    <w:right w:val="single" w:color="auto" w:sz="4" w:space="0"/>
                  </w:tcBorders>
                  <w:vAlign w:val="center"/>
                </w:tcPr>
                <w:p>
                  <w:pPr>
                    <w:jc w:val="center"/>
                    <w:rPr>
                      <w:b/>
                      <w:bCs/>
                      <w:szCs w:val="21"/>
                    </w:rPr>
                  </w:pPr>
                  <w:r>
                    <w:rPr>
                      <w:b/>
                      <w:bCs/>
                      <w:szCs w:val="21"/>
                    </w:rPr>
                    <w:t>位置</w:t>
                  </w:r>
                </w:p>
              </w:tc>
              <w:tc>
                <w:tcPr>
                  <w:tcW w:w="1339"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left="-105" w:leftChars="-50" w:right="-130" w:rightChars="-62"/>
                    <w:jc w:val="center"/>
                    <w:rPr>
                      <w:b/>
                      <w:bCs/>
                      <w:szCs w:val="21"/>
                    </w:rPr>
                  </w:pPr>
                  <w:bookmarkStart w:id="7" w:name="_Toc100575316"/>
                  <w:r>
                    <w:rPr>
                      <w:b/>
                      <w:bCs/>
                      <w:szCs w:val="21"/>
                    </w:rPr>
                    <w:t>昼间</w:t>
                  </w:r>
                  <w:bookmarkEnd w:id="7"/>
                </w:p>
              </w:tc>
              <w:tc>
                <w:tcPr>
                  <w:tcW w:w="134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left="-105" w:leftChars="-50" w:right="-130" w:rightChars="-62"/>
                    <w:jc w:val="center"/>
                    <w:rPr>
                      <w:b/>
                      <w:bCs/>
                      <w:szCs w:val="21"/>
                    </w:rPr>
                  </w:pPr>
                  <w:r>
                    <w:rPr>
                      <w:b/>
                      <w:bCs/>
                      <w:szCs w:val="21"/>
                    </w:rPr>
                    <w:t>夜间</w:t>
                  </w:r>
                </w:p>
              </w:tc>
              <w:tc>
                <w:tcPr>
                  <w:tcW w:w="1341" w:type="dxa"/>
                  <w:tcBorders>
                    <w:top w:val="single" w:color="auto" w:sz="4" w:space="0"/>
                    <w:left w:val="single" w:color="auto" w:sz="4" w:space="0"/>
                    <w:bottom w:val="single" w:color="auto" w:sz="4" w:space="0"/>
                    <w:right w:val="single" w:color="auto" w:sz="4" w:space="0"/>
                  </w:tcBorders>
                  <w:vAlign w:val="center"/>
                </w:tcPr>
                <w:p>
                  <w:pPr>
                    <w:snapToGrid w:val="0"/>
                    <w:spacing w:line="240" w:lineRule="atLeast"/>
                    <w:ind w:left="-105" w:leftChars="-50" w:right="-130" w:rightChars="-62"/>
                    <w:jc w:val="center"/>
                    <w:rPr>
                      <w:b/>
                      <w:bCs/>
                      <w:szCs w:val="21"/>
                    </w:rPr>
                  </w:pPr>
                  <w:r>
                    <w:rPr>
                      <w:b/>
                      <w:bCs/>
                      <w:szCs w:val="21"/>
                    </w:rPr>
                    <w:t>昼间</w:t>
                  </w:r>
                </w:p>
              </w:tc>
              <w:tc>
                <w:tcPr>
                  <w:tcW w:w="1338" w:type="dxa"/>
                  <w:tcBorders>
                    <w:top w:val="single" w:color="auto" w:sz="4" w:space="0"/>
                    <w:left w:val="single" w:color="auto" w:sz="4" w:space="0"/>
                    <w:bottom w:val="single" w:color="auto" w:sz="4" w:space="0"/>
                    <w:right w:val="nil"/>
                  </w:tcBorders>
                  <w:vAlign w:val="center"/>
                </w:tcPr>
                <w:p>
                  <w:pPr>
                    <w:snapToGrid w:val="0"/>
                    <w:spacing w:line="240" w:lineRule="atLeast"/>
                    <w:ind w:left="-105" w:leftChars="-50" w:right="-130" w:rightChars="-62"/>
                    <w:jc w:val="center"/>
                    <w:rPr>
                      <w:b/>
                      <w:bCs/>
                      <w:szCs w:val="21"/>
                    </w:rPr>
                  </w:pPr>
                  <w:bookmarkStart w:id="8" w:name="_Toc100575317"/>
                  <w:r>
                    <w:rPr>
                      <w:b/>
                      <w:bCs/>
                      <w:szCs w:val="21"/>
                    </w:rPr>
                    <w:t>夜间</w:t>
                  </w:r>
                  <w:bookmarkEnd w:id="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826" w:type="dxa"/>
                  <w:tcBorders>
                    <w:top w:val="single" w:color="auto" w:sz="4" w:space="0"/>
                    <w:left w:val="nil"/>
                    <w:bottom w:val="single" w:color="auto" w:sz="4" w:space="0"/>
                    <w:right w:val="single" w:color="auto" w:sz="4" w:space="0"/>
                  </w:tcBorders>
                  <w:vAlign w:val="center"/>
                </w:tcPr>
                <w:p>
                  <w:pPr>
                    <w:jc w:val="center"/>
                    <w:rPr>
                      <w:szCs w:val="21"/>
                    </w:rPr>
                  </w:pPr>
                  <w:r>
                    <w:rPr>
                      <w:szCs w:val="21"/>
                    </w:rPr>
                    <w:t>N1</w:t>
                  </w:r>
                </w:p>
              </w:tc>
              <w:tc>
                <w:tcPr>
                  <w:tcW w:w="1992"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厂南边</w:t>
                  </w:r>
                  <w:r>
                    <w:rPr>
                      <w:szCs w:val="21"/>
                    </w:rPr>
                    <w:t>界外1米</w:t>
                  </w:r>
                </w:p>
              </w:tc>
              <w:tc>
                <w:tcPr>
                  <w:tcW w:w="1339"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61.5</w:t>
                  </w:r>
                </w:p>
              </w:tc>
              <w:tc>
                <w:tcPr>
                  <w:tcW w:w="1341"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51.9</w:t>
                  </w:r>
                </w:p>
              </w:tc>
              <w:tc>
                <w:tcPr>
                  <w:tcW w:w="1341"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63.4</w:t>
                  </w:r>
                </w:p>
              </w:tc>
              <w:tc>
                <w:tcPr>
                  <w:tcW w:w="1338" w:type="dxa"/>
                  <w:tcBorders>
                    <w:top w:val="single" w:color="auto" w:sz="4" w:space="0"/>
                    <w:left w:val="single" w:color="auto" w:sz="4" w:space="0"/>
                    <w:bottom w:val="single" w:color="auto" w:sz="4" w:space="0"/>
                    <w:right w:val="nil"/>
                  </w:tcBorders>
                  <w:vAlign w:val="center"/>
                </w:tcPr>
                <w:p>
                  <w:pPr>
                    <w:ind w:left="12"/>
                    <w:jc w:val="center"/>
                    <w:rPr>
                      <w:szCs w:val="21"/>
                    </w:rPr>
                  </w:pPr>
                  <w:r>
                    <w:rPr>
                      <w:rFonts w:hint="eastAsia"/>
                      <w:szCs w:val="21"/>
                    </w:rPr>
                    <w:t>52.2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826" w:type="dxa"/>
                  <w:tcBorders>
                    <w:top w:val="single" w:color="auto" w:sz="4" w:space="0"/>
                    <w:left w:val="nil"/>
                    <w:bottom w:val="single" w:color="auto" w:sz="4" w:space="0"/>
                    <w:right w:val="single" w:color="auto" w:sz="4" w:space="0"/>
                  </w:tcBorders>
                  <w:vAlign w:val="center"/>
                </w:tcPr>
                <w:p>
                  <w:pPr>
                    <w:jc w:val="center"/>
                    <w:rPr>
                      <w:szCs w:val="21"/>
                    </w:rPr>
                  </w:pPr>
                  <w:r>
                    <w:rPr>
                      <w:szCs w:val="21"/>
                    </w:rPr>
                    <w:t>N2</w:t>
                  </w:r>
                </w:p>
              </w:tc>
              <w:tc>
                <w:tcPr>
                  <w:tcW w:w="1992"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厂东边</w:t>
                  </w:r>
                  <w:r>
                    <w:rPr>
                      <w:szCs w:val="21"/>
                    </w:rPr>
                    <w:t>界外1米</w:t>
                  </w:r>
                </w:p>
              </w:tc>
              <w:tc>
                <w:tcPr>
                  <w:tcW w:w="133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58.5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53.3</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58.6</w:t>
                  </w:r>
                </w:p>
              </w:tc>
              <w:tc>
                <w:tcPr>
                  <w:tcW w:w="1338" w:type="dxa"/>
                  <w:tcBorders>
                    <w:top w:val="single" w:color="auto" w:sz="4" w:space="0"/>
                    <w:left w:val="single" w:color="auto" w:sz="4" w:space="0"/>
                    <w:bottom w:val="single" w:color="auto" w:sz="4" w:space="0"/>
                    <w:right w:val="nil"/>
                  </w:tcBorders>
                  <w:vAlign w:val="center"/>
                </w:tcPr>
                <w:p>
                  <w:pPr>
                    <w:jc w:val="center"/>
                    <w:rPr>
                      <w:szCs w:val="21"/>
                    </w:rPr>
                  </w:pPr>
                  <w:r>
                    <w:rPr>
                      <w:rFonts w:hint="eastAsia"/>
                      <w:szCs w:val="21"/>
                    </w:rPr>
                    <w:t>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826" w:type="dxa"/>
                  <w:tcBorders>
                    <w:top w:val="single" w:color="auto" w:sz="4" w:space="0"/>
                    <w:left w:val="nil"/>
                    <w:bottom w:val="single" w:color="auto" w:sz="4" w:space="0"/>
                    <w:right w:val="single" w:color="auto" w:sz="4" w:space="0"/>
                  </w:tcBorders>
                  <w:vAlign w:val="center"/>
                </w:tcPr>
                <w:p>
                  <w:pPr>
                    <w:jc w:val="center"/>
                    <w:rPr>
                      <w:szCs w:val="21"/>
                    </w:rPr>
                  </w:pPr>
                  <w:r>
                    <w:rPr>
                      <w:szCs w:val="21"/>
                    </w:rPr>
                    <w:t>N3</w:t>
                  </w:r>
                </w:p>
              </w:tc>
              <w:tc>
                <w:tcPr>
                  <w:tcW w:w="1992" w:type="dxa"/>
                  <w:tcBorders>
                    <w:top w:val="single" w:color="auto" w:sz="4" w:space="0"/>
                    <w:left w:val="nil"/>
                    <w:bottom w:val="single" w:color="auto" w:sz="4" w:space="0"/>
                    <w:right w:val="single" w:color="auto" w:sz="4" w:space="0"/>
                  </w:tcBorders>
                  <w:vAlign w:val="center"/>
                </w:tcPr>
                <w:p>
                  <w:pPr>
                    <w:jc w:val="center"/>
                    <w:rPr>
                      <w:szCs w:val="21"/>
                    </w:rPr>
                  </w:pPr>
                  <w:r>
                    <w:rPr>
                      <w:rFonts w:hint="eastAsia"/>
                      <w:szCs w:val="21"/>
                    </w:rPr>
                    <w:t>厂北边</w:t>
                  </w:r>
                  <w:r>
                    <w:rPr>
                      <w:szCs w:val="21"/>
                    </w:rPr>
                    <w:t>界外1米</w:t>
                  </w:r>
                </w:p>
              </w:tc>
              <w:tc>
                <w:tcPr>
                  <w:tcW w:w="133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57.9</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53.5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61.2</w:t>
                  </w:r>
                </w:p>
              </w:tc>
              <w:tc>
                <w:tcPr>
                  <w:tcW w:w="1338" w:type="dxa"/>
                  <w:tcBorders>
                    <w:top w:val="single" w:color="auto" w:sz="4" w:space="0"/>
                    <w:left w:val="single" w:color="auto" w:sz="4" w:space="0"/>
                    <w:bottom w:val="single" w:color="auto" w:sz="4" w:space="0"/>
                    <w:right w:val="nil"/>
                  </w:tcBorders>
                  <w:vAlign w:val="center"/>
                </w:tcPr>
                <w:p>
                  <w:pPr>
                    <w:jc w:val="center"/>
                  </w:pPr>
                  <w:r>
                    <w:rPr>
                      <w:rFonts w:hint="eastAsia"/>
                    </w:rPr>
                    <w:t>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826" w:type="dxa"/>
                  <w:tcBorders>
                    <w:top w:val="single" w:color="auto" w:sz="4" w:space="0"/>
                    <w:left w:val="nil"/>
                    <w:bottom w:val="single" w:color="auto" w:sz="4" w:space="0"/>
                    <w:right w:val="single" w:color="auto" w:sz="4" w:space="0"/>
                  </w:tcBorders>
                  <w:vAlign w:val="center"/>
                </w:tcPr>
                <w:p>
                  <w:pPr>
                    <w:jc w:val="center"/>
                    <w:rPr>
                      <w:szCs w:val="21"/>
                    </w:rPr>
                  </w:pPr>
                  <w:r>
                    <w:rPr>
                      <w:szCs w:val="21"/>
                    </w:rPr>
                    <w:t>N4</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厂西边</w:t>
                  </w:r>
                  <w:r>
                    <w:rPr>
                      <w:szCs w:val="21"/>
                    </w:rPr>
                    <w:t>界外1米</w:t>
                  </w:r>
                </w:p>
              </w:tc>
              <w:tc>
                <w:tcPr>
                  <w:tcW w:w="1339"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61.3</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53.6</w:t>
                  </w:r>
                </w:p>
              </w:tc>
              <w:tc>
                <w:tcPr>
                  <w:tcW w:w="1341"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60.2</w:t>
                  </w:r>
                </w:p>
              </w:tc>
              <w:tc>
                <w:tcPr>
                  <w:tcW w:w="1338" w:type="dxa"/>
                  <w:tcBorders>
                    <w:top w:val="single" w:color="auto" w:sz="4" w:space="0"/>
                    <w:left w:val="single" w:color="auto" w:sz="4" w:space="0"/>
                    <w:bottom w:val="single" w:color="auto" w:sz="4" w:space="0"/>
                    <w:right w:val="nil"/>
                  </w:tcBorders>
                  <w:vAlign w:val="center"/>
                </w:tcPr>
                <w:p>
                  <w:pPr>
                    <w:jc w:val="center"/>
                  </w:pPr>
                  <w:r>
                    <w:rPr>
                      <w:rFonts w:hint="eastAsia"/>
                    </w:rPr>
                    <w:t>53.0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2818" w:type="dxa"/>
                  <w:gridSpan w:val="2"/>
                  <w:tcBorders>
                    <w:top w:val="single" w:color="auto" w:sz="4" w:space="0"/>
                    <w:left w:val="nil"/>
                    <w:bottom w:val="single" w:color="auto" w:sz="4" w:space="0"/>
                    <w:right w:val="single" w:color="auto" w:sz="4" w:space="0"/>
                  </w:tcBorders>
                  <w:vAlign w:val="center"/>
                </w:tcPr>
                <w:p>
                  <w:pPr>
                    <w:jc w:val="center"/>
                    <w:rPr>
                      <w:b/>
                      <w:szCs w:val="21"/>
                    </w:rPr>
                  </w:pPr>
                  <w:r>
                    <w:rPr>
                      <w:rFonts w:hint="eastAsia"/>
                      <w:b/>
                      <w:szCs w:val="21"/>
                    </w:rPr>
                    <w:t>标准值</w:t>
                  </w:r>
                </w:p>
              </w:tc>
              <w:tc>
                <w:tcPr>
                  <w:tcW w:w="1339"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65</w:t>
                  </w:r>
                </w:p>
              </w:tc>
              <w:tc>
                <w:tcPr>
                  <w:tcW w:w="134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55</w:t>
                  </w:r>
                </w:p>
              </w:tc>
              <w:tc>
                <w:tcPr>
                  <w:tcW w:w="1341" w:type="dxa"/>
                  <w:tcBorders>
                    <w:top w:val="single" w:color="auto" w:sz="4" w:space="0"/>
                    <w:left w:val="single" w:color="auto" w:sz="4" w:space="0"/>
                    <w:bottom w:val="single" w:color="auto" w:sz="4" w:space="0"/>
                    <w:right w:val="single" w:color="auto" w:sz="4" w:space="0"/>
                  </w:tcBorders>
                  <w:vAlign w:val="center"/>
                </w:tcPr>
                <w:p>
                  <w:pPr>
                    <w:ind w:left="12"/>
                    <w:jc w:val="center"/>
                    <w:rPr>
                      <w:szCs w:val="21"/>
                    </w:rPr>
                  </w:pPr>
                  <w:r>
                    <w:rPr>
                      <w:rFonts w:hint="eastAsia"/>
                      <w:szCs w:val="21"/>
                    </w:rPr>
                    <w:t>65</w:t>
                  </w:r>
                </w:p>
              </w:tc>
              <w:tc>
                <w:tcPr>
                  <w:tcW w:w="1338" w:type="dxa"/>
                  <w:tcBorders>
                    <w:top w:val="single" w:color="auto" w:sz="4" w:space="0"/>
                    <w:left w:val="single" w:color="auto" w:sz="4" w:space="0"/>
                    <w:bottom w:val="single" w:color="auto" w:sz="4" w:space="0"/>
                    <w:right w:val="nil"/>
                  </w:tcBorders>
                  <w:vAlign w:val="center"/>
                </w:tcPr>
                <w:p>
                  <w:pPr>
                    <w:jc w:val="center"/>
                  </w:pPr>
                  <w:r>
                    <w:rPr>
                      <w:rFonts w:hint="eastAsia"/>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01" w:hRule="atLeast"/>
                <w:jc w:val="center"/>
              </w:trPr>
              <w:tc>
                <w:tcPr>
                  <w:tcW w:w="2818" w:type="dxa"/>
                  <w:gridSpan w:val="2"/>
                  <w:tcBorders>
                    <w:top w:val="single" w:color="auto" w:sz="4" w:space="0"/>
                    <w:left w:val="nil"/>
                    <w:bottom w:val="single" w:color="auto" w:sz="12" w:space="0"/>
                    <w:right w:val="single" w:color="auto" w:sz="4" w:space="0"/>
                  </w:tcBorders>
                  <w:vAlign w:val="center"/>
                </w:tcPr>
                <w:p>
                  <w:pPr>
                    <w:jc w:val="center"/>
                    <w:rPr>
                      <w:b/>
                      <w:szCs w:val="21"/>
                    </w:rPr>
                  </w:pPr>
                  <w:r>
                    <w:rPr>
                      <w:rFonts w:hint="eastAsia"/>
                      <w:b/>
                      <w:szCs w:val="21"/>
                    </w:rPr>
                    <w:t>达标情况</w:t>
                  </w:r>
                </w:p>
              </w:tc>
              <w:tc>
                <w:tcPr>
                  <w:tcW w:w="1339" w:type="dxa"/>
                  <w:tcBorders>
                    <w:top w:val="single" w:color="auto" w:sz="4" w:space="0"/>
                    <w:left w:val="single" w:color="auto" w:sz="4" w:space="0"/>
                    <w:bottom w:val="single" w:color="auto" w:sz="12" w:space="0"/>
                    <w:right w:val="single" w:color="auto" w:sz="4" w:space="0"/>
                  </w:tcBorders>
                  <w:vAlign w:val="center"/>
                </w:tcPr>
                <w:p>
                  <w:pPr>
                    <w:ind w:left="12"/>
                    <w:jc w:val="center"/>
                    <w:rPr>
                      <w:szCs w:val="21"/>
                    </w:rPr>
                  </w:pPr>
                  <w:r>
                    <w:rPr>
                      <w:szCs w:val="21"/>
                    </w:rPr>
                    <w:t>达标</w:t>
                  </w:r>
                </w:p>
              </w:tc>
              <w:tc>
                <w:tcPr>
                  <w:tcW w:w="1341" w:type="dxa"/>
                  <w:tcBorders>
                    <w:top w:val="single" w:color="auto" w:sz="4" w:space="0"/>
                    <w:left w:val="single" w:color="auto" w:sz="4" w:space="0"/>
                    <w:bottom w:val="single" w:color="auto" w:sz="12" w:space="0"/>
                    <w:right w:val="single" w:color="auto" w:sz="4" w:space="0"/>
                  </w:tcBorders>
                  <w:vAlign w:val="center"/>
                </w:tcPr>
                <w:p>
                  <w:pPr>
                    <w:jc w:val="center"/>
                  </w:pPr>
                  <w:r>
                    <w:rPr>
                      <w:szCs w:val="21"/>
                    </w:rPr>
                    <w:t>达标</w:t>
                  </w:r>
                </w:p>
              </w:tc>
              <w:tc>
                <w:tcPr>
                  <w:tcW w:w="1341" w:type="dxa"/>
                  <w:tcBorders>
                    <w:top w:val="single" w:color="auto" w:sz="4" w:space="0"/>
                    <w:left w:val="single" w:color="auto" w:sz="4" w:space="0"/>
                    <w:bottom w:val="single" w:color="auto" w:sz="12" w:space="0"/>
                    <w:right w:val="single" w:color="auto" w:sz="4" w:space="0"/>
                  </w:tcBorders>
                  <w:vAlign w:val="center"/>
                </w:tcPr>
                <w:p>
                  <w:pPr>
                    <w:ind w:left="12"/>
                    <w:jc w:val="center"/>
                    <w:rPr>
                      <w:szCs w:val="21"/>
                    </w:rPr>
                  </w:pPr>
                  <w:r>
                    <w:rPr>
                      <w:szCs w:val="21"/>
                    </w:rPr>
                    <w:t>达标</w:t>
                  </w:r>
                </w:p>
              </w:tc>
              <w:tc>
                <w:tcPr>
                  <w:tcW w:w="1338" w:type="dxa"/>
                  <w:tcBorders>
                    <w:top w:val="single" w:color="auto" w:sz="4" w:space="0"/>
                    <w:left w:val="single" w:color="auto" w:sz="4" w:space="0"/>
                    <w:bottom w:val="single" w:color="auto" w:sz="12" w:space="0"/>
                    <w:right w:val="nil"/>
                  </w:tcBorders>
                  <w:vAlign w:val="center"/>
                </w:tcPr>
                <w:p>
                  <w:pPr>
                    <w:jc w:val="center"/>
                  </w:pPr>
                  <w:r>
                    <w:rPr>
                      <w:szCs w:val="21"/>
                    </w:rPr>
                    <w:t>达标</w:t>
                  </w:r>
                </w:p>
              </w:tc>
            </w:tr>
          </w:tbl>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9" w:hRule="atLeast"/>
          <w:jc w:val="center"/>
        </w:trPr>
        <w:tc>
          <w:tcPr>
            <w:tcW w:w="9083" w:type="dxa"/>
            <w:gridSpan w:val="2"/>
            <w:vAlign w:val="center"/>
          </w:tcPr>
          <w:p>
            <w:pPr>
              <w:numPr>
                <w:ilvl w:val="0"/>
                <w:numId w:val="7"/>
              </w:numPr>
              <w:spacing w:line="360" w:lineRule="auto"/>
              <w:rPr>
                <w:sz w:val="24"/>
              </w:rPr>
            </w:pPr>
            <w:r>
              <w:rPr>
                <w:sz w:val="24"/>
              </w:rPr>
              <w:t>监测期间气象参数：</w:t>
            </w:r>
            <w:r>
              <w:rPr>
                <w:rFonts w:hint="eastAsia"/>
                <w:sz w:val="24"/>
              </w:rPr>
              <w:t>2019年03月20日，昼间：晴，风速：2.5m/s；夜间：晴，风速：2.7m/s；2019年03月21日，昼间：晴，风速：3.2m/s；夜间：晴，风速：3.4m/s。</w:t>
            </w:r>
          </w:p>
          <w:p>
            <w:pPr>
              <w:numPr>
                <w:ilvl w:val="0"/>
                <w:numId w:val="7"/>
              </w:numPr>
              <w:spacing w:line="360" w:lineRule="auto"/>
              <w:rPr>
                <w:sz w:val="24"/>
              </w:rPr>
            </w:pPr>
            <w:r>
              <w:rPr>
                <w:sz w:val="24"/>
              </w:rPr>
              <w:t>因厂界环境噪声监测结果达标，根据《环境噪声监测技术规范噪声测量值修正》（HJ 706-2014）6.1，不对噪声监测结果进行修约。</w:t>
            </w:r>
          </w:p>
        </w:tc>
      </w:tr>
    </w:tbl>
    <w:p>
      <w:pPr>
        <w:widowControl/>
        <w:jc w:val="left"/>
        <w:rPr>
          <w:sz w:val="24"/>
        </w:rPr>
      </w:pPr>
      <w:r>
        <w:rPr>
          <w:sz w:val="24"/>
        </w:rPr>
        <w:t>续表八</w:t>
      </w:r>
    </w:p>
    <w:p>
      <w:pPr>
        <w:widowControl/>
        <w:jc w:val="center"/>
        <w:rPr>
          <w:b/>
          <w:bCs/>
          <w:sz w:val="24"/>
        </w:rPr>
      </w:pPr>
      <w:r>
        <w:rPr>
          <w:b/>
          <w:bCs/>
          <w:sz w:val="24"/>
        </w:rPr>
        <w:t>污染物总量核算</w:t>
      </w:r>
    </w:p>
    <w:tbl>
      <w:tblPr>
        <w:tblStyle w:val="18"/>
        <w:tblW w:w="9360" w:type="dxa"/>
        <w:tblInd w:w="-432" w:type="dxa"/>
        <w:tblLayout w:type="fixed"/>
        <w:tblCellMar>
          <w:top w:w="0" w:type="dxa"/>
          <w:left w:w="108" w:type="dxa"/>
          <w:bottom w:w="0" w:type="dxa"/>
          <w:right w:w="108" w:type="dxa"/>
        </w:tblCellMar>
      </w:tblPr>
      <w:tblGrid>
        <w:gridCol w:w="9360"/>
      </w:tblGrid>
      <w:tr>
        <w:tblPrEx>
          <w:tblLayout w:type="fixed"/>
          <w:tblCellMar>
            <w:top w:w="0" w:type="dxa"/>
            <w:left w:w="108" w:type="dxa"/>
            <w:bottom w:w="0" w:type="dxa"/>
            <w:right w:w="108" w:type="dxa"/>
          </w:tblCellMar>
        </w:tblPrEx>
        <w:trPr>
          <w:cantSplit/>
          <w:trHeight w:val="13571" w:hRule="atLeast"/>
        </w:trPr>
        <w:tc>
          <w:tcPr>
            <w:tcW w:w="9360" w:type="dxa"/>
            <w:tcBorders>
              <w:top w:val="single" w:color="auto" w:sz="4" w:space="0"/>
              <w:left w:val="single" w:color="auto" w:sz="4" w:space="0"/>
              <w:bottom w:val="single" w:color="auto" w:sz="4" w:space="0"/>
              <w:right w:val="single" w:color="auto" w:sz="4" w:space="0"/>
            </w:tcBorders>
          </w:tcPr>
          <w:p>
            <w:pPr>
              <w:spacing w:line="360" w:lineRule="auto"/>
              <w:jc w:val="left"/>
              <w:rPr>
                <w:b/>
                <w:sz w:val="24"/>
              </w:rPr>
            </w:pPr>
            <w:r>
              <w:rPr>
                <w:b/>
                <w:sz w:val="24"/>
              </w:rPr>
              <w:t>一、大气污染物总量核算</w:t>
            </w:r>
          </w:p>
          <w:p>
            <w:pPr>
              <w:jc w:val="center"/>
              <w:rPr>
                <w:b/>
                <w:bCs/>
                <w:sz w:val="24"/>
              </w:rPr>
            </w:pPr>
            <w:r>
              <w:rPr>
                <w:b/>
                <w:bCs/>
                <w:sz w:val="24"/>
              </w:rPr>
              <w:t xml:space="preserve">表8-5 </w:t>
            </w:r>
            <w:r>
              <w:rPr>
                <w:rFonts w:hint="eastAsia"/>
                <w:b/>
                <w:bCs/>
                <w:sz w:val="24"/>
              </w:rPr>
              <w:t xml:space="preserve"> </w:t>
            </w:r>
            <w:r>
              <w:rPr>
                <w:b/>
                <w:bCs/>
                <w:sz w:val="24"/>
              </w:rPr>
              <w:t>水污染物排放总量核算表</w:t>
            </w:r>
          </w:p>
          <w:tbl>
            <w:tblPr>
              <w:tblStyle w:val="18"/>
              <w:tblW w:w="906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276"/>
              <w:gridCol w:w="1199"/>
              <w:gridCol w:w="1624"/>
              <w:gridCol w:w="1624"/>
              <w:gridCol w:w="1625"/>
              <w:gridCol w:w="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2275" w:type="dxa"/>
                  <w:gridSpan w:val="2"/>
                  <w:tcBorders>
                    <w:top w:val="single" w:color="auto" w:sz="12" w:space="0"/>
                    <w:bottom w:val="single" w:color="auto" w:sz="4" w:space="0"/>
                  </w:tcBorders>
                  <w:vAlign w:val="center"/>
                </w:tcPr>
                <w:p>
                  <w:pPr>
                    <w:spacing w:line="120" w:lineRule="atLeast"/>
                    <w:jc w:val="center"/>
                    <w:rPr>
                      <w:b/>
                      <w:bCs/>
                      <w:szCs w:val="21"/>
                    </w:rPr>
                  </w:pPr>
                  <w:r>
                    <w:rPr>
                      <w:b/>
                      <w:bCs/>
                      <w:szCs w:val="21"/>
                    </w:rPr>
                    <w:t>总量核批情况</w:t>
                  </w:r>
                </w:p>
              </w:tc>
              <w:tc>
                <w:tcPr>
                  <w:tcW w:w="6072" w:type="dxa"/>
                  <w:gridSpan w:val="4"/>
                  <w:tcBorders>
                    <w:top w:val="single" w:color="auto" w:sz="12" w:space="0"/>
                    <w:bottom w:val="single" w:color="auto" w:sz="4" w:space="0"/>
                  </w:tcBorders>
                  <w:vAlign w:val="center"/>
                </w:tcPr>
                <w:p>
                  <w:pPr>
                    <w:spacing w:line="120" w:lineRule="atLeast"/>
                    <w:jc w:val="center"/>
                    <w:rPr>
                      <w:b/>
                      <w:bCs/>
                      <w:szCs w:val="21"/>
                    </w:rPr>
                  </w:pPr>
                  <w:r>
                    <w:rPr>
                      <w:b/>
                      <w:bCs/>
                      <w:szCs w:val="21"/>
                    </w:rPr>
                    <w:t>验收监测情况</w:t>
                  </w:r>
                </w:p>
              </w:tc>
              <w:tc>
                <w:tcPr>
                  <w:tcW w:w="720" w:type="dxa"/>
                  <w:vMerge w:val="restart"/>
                  <w:tcBorders>
                    <w:top w:val="single" w:color="auto" w:sz="12" w:space="0"/>
                  </w:tcBorders>
                  <w:vAlign w:val="center"/>
                </w:tcPr>
                <w:p>
                  <w:pPr>
                    <w:spacing w:line="120" w:lineRule="atLeast"/>
                    <w:jc w:val="center"/>
                    <w:rPr>
                      <w:b/>
                      <w:bCs/>
                      <w:szCs w:val="21"/>
                    </w:rPr>
                  </w:pPr>
                  <w:r>
                    <w:rPr>
                      <w:b/>
                      <w:bCs/>
                      <w:szCs w:val="21"/>
                    </w:rPr>
                    <w:t>是否</w:t>
                  </w:r>
                </w:p>
                <w:p>
                  <w:pPr>
                    <w:spacing w:line="120" w:lineRule="atLeast"/>
                    <w:jc w:val="center"/>
                    <w:rPr>
                      <w:b/>
                      <w:bCs/>
                      <w:szCs w:val="21"/>
                    </w:rPr>
                  </w:pPr>
                  <w:r>
                    <w:rPr>
                      <w:b/>
                      <w:bCs/>
                      <w:szCs w:val="21"/>
                    </w:rPr>
                    <w:t>满足</w:t>
                  </w:r>
                </w:p>
                <w:p>
                  <w:pPr>
                    <w:spacing w:line="120" w:lineRule="atLeast"/>
                    <w:jc w:val="center"/>
                    <w:rPr>
                      <w:b/>
                      <w:bCs/>
                      <w:szCs w:val="21"/>
                    </w:rPr>
                  </w:pPr>
                  <w:r>
                    <w:rPr>
                      <w:b/>
                      <w:bCs/>
                      <w:szCs w:val="21"/>
                    </w:rPr>
                    <w:t>总量</w:t>
                  </w:r>
                </w:p>
                <w:p>
                  <w:pPr>
                    <w:spacing w:line="120" w:lineRule="atLeast"/>
                    <w:jc w:val="center"/>
                    <w:rPr>
                      <w:szCs w:val="21"/>
                    </w:rPr>
                  </w:pPr>
                  <w:r>
                    <w:rPr>
                      <w:b/>
                      <w:bCs/>
                      <w:szCs w:val="21"/>
                    </w:rPr>
                    <w:t>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999" w:type="dxa"/>
                  <w:tcBorders>
                    <w:top w:val="single" w:color="auto" w:sz="4" w:space="0"/>
                    <w:bottom w:val="single" w:color="auto" w:sz="4" w:space="0"/>
                  </w:tcBorders>
                  <w:vAlign w:val="center"/>
                </w:tcPr>
                <w:p>
                  <w:pPr>
                    <w:spacing w:line="120" w:lineRule="atLeast"/>
                    <w:jc w:val="center"/>
                    <w:rPr>
                      <w:b/>
                      <w:bCs/>
                      <w:szCs w:val="21"/>
                    </w:rPr>
                  </w:pPr>
                  <w:r>
                    <w:rPr>
                      <w:b/>
                      <w:bCs/>
                      <w:szCs w:val="21"/>
                    </w:rPr>
                    <w:t>污染物名称</w:t>
                  </w:r>
                </w:p>
              </w:tc>
              <w:tc>
                <w:tcPr>
                  <w:tcW w:w="1276" w:type="dxa"/>
                  <w:tcBorders>
                    <w:top w:val="single" w:color="auto" w:sz="4" w:space="0"/>
                    <w:bottom w:val="single" w:color="auto" w:sz="4" w:space="0"/>
                  </w:tcBorders>
                  <w:vAlign w:val="center"/>
                </w:tcPr>
                <w:p>
                  <w:pPr>
                    <w:spacing w:line="120" w:lineRule="atLeast"/>
                    <w:jc w:val="center"/>
                    <w:rPr>
                      <w:b/>
                      <w:bCs/>
                      <w:szCs w:val="21"/>
                    </w:rPr>
                  </w:pPr>
                  <w:r>
                    <w:rPr>
                      <w:b/>
                      <w:bCs/>
                      <w:szCs w:val="21"/>
                    </w:rPr>
                    <w:t>一阶段废水排放考核量（t/a）</w:t>
                  </w:r>
                </w:p>
              </w:tc>
              <w:tc>
                <w:tcPr>
                  <w:tcW w:w="1199" w:type="dxa"/>
                  <w:tcBorders>
                    <w:top w:val="single" w:color="auto" w:sz="4" w:space="0"/>
                    <w:bottom w:val="single" w:color="auto" w:sz="4" w:space="0"/>
                  </w:tcBorders>
                  <w:vAlign w:val="center"/>
                </w:tcPr>
                <w:p>
                  <w:pPr>
                    <w:spacing w:line="120" w:lineRule="atLeast"/>
                    <w:jc w:val="center"/>
                    <w:rPr>
                      <w:b/>
                      <w:bCs/>
                      <w:szCs w:val="21"/>
                    </w:rPr>
                  </w:pPr>
                  <w:r>
                    <w:rPr>
                      <w:b/>
                      <w:bCs/>
                      <w:szCs w:val="21"/>
                    </w:rPr>
                    <w:t>监测</w:t>
                  </w:r>
                </w:p>
                <w:p>
                  <w:pPr>
                    <w:spacing w:line="120" w:lineRule="atLeast"/>
                    <w:jc w:val="center"/>
                    <w:rPr>
                      <w:b/>
                      <w:bCs/>
                      <w:szCs w:val="21"/>
                    </w:rPr>
                  </w:pPr>
                  <w:r>
                    <w:rPr>
                      <w:b/>
                      <w:bCs/>
                      <w:szCs w:val="21"/>
                    </w:rPr>
                    <w:t>点位</w:t>
                  </w:r>
                </w:p>
              </w:tc>
              <w:tc>
                <w:tcPr>
                  <w:tcW w:w="1624" w:type="dxa"/>
                  <w:tcBorders>
                    <w:top w:val="single" w:color="auto" w:sz="4" w:space="0"/>
                    <w:bottom w:val="single" w:color="auto" w:sz="4" w:space="0"/>
                  </w:tcBorders>
                  <w:vAlign w:val="center"/>
                </w:tcPr>
                <w:p>
                  <w:pPr>
                    <w:spacing w:line="120" w:lineRule="atLeast"/>
                    <w:jc w:val="center"/>
                    <w:rPr>
                      <w:b/>
                      <w:bCs/>
                      <w:szCs w:val="21"/>
                    </w:rPr>
                  </w:pPr>
                  <w:r>
                    <w:rPr>
                      <w:b/>
                      <w:bCs/>
                      <w:szCs w:val="21"/>
                    </w:rPr>
                    <w:t>污染物排放浓度平均值（mg/L）</w:t>
                  </w:r>
                </w:p>
              </w:tc>
              <w:tc>
                <w:tcPr>
                  <w:tcW w:w="1624" w:type="dxa"/>
                  <w:tcBorders>
                    <w:top w:val="single" w:color="auto" w:sz="4" w:space="0"/>
                    <w:bottom w:val="single" w:color="auto" w:sz="4" w:space="0"/>
                    <w:right w:val="single" w:color="auto" w:sz="4" w:space="0"/>
                  </w:tcBorders>
                  <w:vAlign w:val="center"/>
                </w:tcPr>
                <w:p>
                  <w:pPr>
                    <w:spacing w:line="120" w:lineRule="atLeast"/>
                    <w:jc w:val="center"/>
                    <w:rPr>
                      <w:b/>
                      <w:bCs/>
                      <w:szCs w:val="21"/>
                    </w:rPr>
                  </w:pPr>
                  <w:r>
                    <w:rPr>
                      <w:b/>
                      <w:bCs/>
                      <w:szCs w:val="21"/>
                    </w:rPr>
                    <w:t>实际废水排放量（t/a）</w:t>
                  </w:r>
                </w:p>
              </w:tc>
              <w:tc>
                <w:tcPr>
                  <w:tcW w:w="1625" w:type="dxa"/>
                  <w:tcBorders>
                    <w:top w:val="nil"/>
                    <w:left w:val="single" w:color="auto" w:sz="4" w:space="0"/>
                    <w:bottom w:val="single" w:color="auto" w:sz="4" w:space="0"/>
                  </w:tcBorders>
                  <w:vAlign w:val="center"/>
                </w:tcPr>
                <w:p>
                  <w:pPr>
                    <w:spacing w:line="120" w:lineRule="atLeast"/>
                    <w:jc w:val="center"/>
                    <w:rPr>
                      <w:b/>
                      <w:bCs/>
                      <w:szCs w:val="21"/>
                    </w:rPr>
                  </w:pPr>
                  <w:r>
                    <w:rPr>
                      <w:b/>
                      <w:bCs/>
                      <w:szCs w:val="21"/>
                    </w:rPr>
                    <w:t>排放总量（t/a）</w:t>
                  </w:r>
                </w:p>
              </w:tc>
              <w:tc>
                <w:tcPr>
                  <w:tcW w:w="720" w:type="dxa"/>
                  <w:vMerge w:val="continue"/>
                  <w:tcBorders>
                    <w:bottom w:val="single" w:color="auto" w:sz="4" w:space="0"/>
                  </w:tcBorders>
                </w:tcPr>
                <w:p>
                  <w:pPr>
                    <w:spacing w:line="120" w:lineRule="atLeas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tabs>
                      <w:tab w:val="left" w:pos="0"/>
                    </w:tabs>
                    <w:jc w:val="center"/>
                    <w:rPr>
                      <w:szCs w:val="21"/>
                    </w:rPr>
                  </w:pPr>
                  <w:r>
                    <w:rPr>
                      <w:szCs w:val="21"/>
                    </w:rPr>
                    <w:t>废水量</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283.9</w:t>
                  </w:r>
                </w:p>
              </w:tc>
              <w:tc>
                <w:tcPr>
                  <w:tcW w:w="1199" w:type="dxa"/>
                  <w:vMerge w:val="restart"/>
                  <w:tcBorders>
                    <w:top w:val="single" w:color="auto" w:sz="4" w:space="0"/>
                  </w:tcBorders>
                  <w:vAlign w:val="center"/>
                </w:tcPr>
                <w:p>
                  <w:pPr>
                    <w:spacing w:line="120" w:lineRule="atLeast"/>
                    <w:jc w:val="center"/>
                    <w:rPr>
                      <w:szCs w:val="21"/>
                    </w:rPr>
                  </w:pPr>
                  <w:r>
                    <w:rPr>
                      <w:szCs w:val="21"/>
                    </w:rPr>
                    <w:t>生活污水排口</w:t>
                  </w:r>
                </w:p>
              </w:tc>
              <w:tc>
                <w:tcPr>
                  <w:tcW w:w="1624" w:type="dxa"/>
                  <w:tcBorders>
                    <w:top w:val="single" w:color="auto" w:sz="4" w:space="0"/>
                    <w:bottom w:val="single" w:color="auto" w:sz="4" w:space="0"/>
                  </w:tcBorders>
                  <w:vAlign w:val="center"/>
                </w:tcPr>
                <w:p>
                  <w:pPr>
                    <w:spacing w:line="120" w:lineRule="atLeast"/>
                    <w:jc w:val="center"/>
                    <w:rPr>
                      <w:szCs w:val="21"/>
                    </w:rPr>
                  </w:pPr>
                  <w:r>
                    <w:rPr>
                      <w:rFonts w:hint="eastAsia"/>
                      <w:szCs w:val="21"/>
                    </w:rPr>
                    <w:t>/</w:t>
                  </w:r>
                </w:p>
              </w:tc>
              <w:tc>
                <w:tcPr>
                  <w:tcW w:w="1624" w:type="dxa"/>
                  <w:vMerge w:val="restart"/>
                  <w:tcBorders>
                    <w:top w:val="single" w:color="auto" w:sz="4" w:space="0"/>
                    <w:right w:val="single" w:color="auto" w:sz="4" w:space="0"/>
                  </w:tcBorders>
                  <w:vAlign w:val="center"/>
                </w:tcPr>
                <w:p>
                  <w:pPr>
                    <w:jc w:val="center"/>
                    <w:rPr>
                      <w:szCs w:val="21"/>
                    </w:rPr>
                  </w:pPr>
                  <w:r>
                    <w:rPr>
                      <w:rFonts w:hint="eastAsia"/>
                      <w:szCs w:val="21"/>
                    </w:rPr>
                    <w:t>283.9</w:t>
                  </w:r>
                </w:p>
              </w:tc>
              <w:tc>
                <w:tcPr>
                  <w:tcW w:w="1625" w:type="dxa"/>
                  <w:tcBorders>
                    <w:top w:val="single" w:color="auto" w:sz="4" w:space="0"/>
                    <w:left w:val="single" w:color="auto" w:sz="4" w:space="0"/>
                    <w:bottom w:val="single" w:color="auto" w:sz="4" w:space="0"/>
                  </w:tcBorders>
                  <w:vAlign w:val="center"/>
                </w:tcPr>
                <w:p>
                  <w:pPr>
                    <w:spacing w:line="120" w:lineRule="atLeast"/>
                    <w:jc w:val="center"/>
                    <w:rPr>
                      <w:szCs w:val="21"/>
                    </w:rPr>
                  </w:pPr>
                  <w:r>
                    <w:rPr>
                      <w:rFonts w:hint="eastAsia"/>
                      <w:szCs w:val="21"/>
                    </w:rPr>
                    <w:t>283.9</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kern w:val="24"/>
                      <w:szCs w:val="21"/>
                    </w:rPr>
                  </w:pPr>
                  <w:r>
                    <w:rPr>
                      <w:szCs w:val="21"/>
                    </w:rPr>
                    <w:t>化学需氧量</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0.1135</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spacing w:line="120" w:lineRule="atLeast"/>
                    <w:jc w:val="center"/>
                    <w:rPr>
                      <w:szCs w:val="21"/>
                    </w:rPr>
                  </w:pPr>
                  <w:r>
                    <w:rPr>
                      <w:rFonts w:hint="eastAsia"/>
                      <w:szCs w:val="21"/>
                    </w:rPr>
                    <w:t>17</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0.0048</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kern w:val="24"/>
                      <w:szCs w:val="21"/>
                    </w:rPr>
                  </w:pPr>
                  <w:r>
                    <w:rPr>
                      <w:szCs w:val="21"/>
                    </w:rPr>
                    <w:t>悬浮物</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0.0869</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jc w:val="center"/>
                    <w:rPr>
                      <w:szCs w:val="21"/>
                    </w:rPr>
                  </w:pPr>
                  <w:r>
                    <w:rPr>
                      <w:rFonts w:hint="eastAsia"/>
                      <w:szCs w:val="21"/>
                    </w:rPr>
                    <w:t>11</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0.00319</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氨氮</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0.007</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jc w:val="center"/>
                    <w:rPr>
                      <w:szCs w:val="21"/>
                    </w:rPr>
                  </w:pPr>
                  <w:r>
                    <w:rPr>
                      <w:rFonts w:hint="eastAsia"/>
                      <w:szCs w:val="21"/>
                    </w:rPr>
                    <w:t>0.113</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0.00003</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szCs w:val="21"/>
                    </w:rPr>
                  </w:pPr>
                  <w:r>
                    <w:rPr>
                      <w:bCs/>
                      <w:szCs w:val="21"/>
                    </w:rPr>
                    <w:t>总磷</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0.0015</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jc w:val="center"/>
                    <w:rPr>
                      <w:szCs w:val="21"/>
                    </w:rPr>
                  </w:pPr>
                  <w:r>
                    <w:rPr>
                      <w:rFonts w:hint="eastAsia"/>
                      <w:szCs w:val="21"/>
                    </w:rPr>
                    <w:t>0.04</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0.00001</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szCs w:val="21"/>
                    </w:rPr>
                  </w:pPr>
                  <w:r>
                    <w:rPr>
                      <w:szCs w:val="21"/>
                    </w:rPr>
                    <w:t>石油类</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0.000007</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jc w:val="center"/>
                    <w:rPr>
                      <w:szCs w:val="21"/>
                    </w:rPr>
                  </w:pPr>
                  <w:r>
                    <w:rPr>
                      <w:rFonts w:hint="eastAsia"/>
                      <w:szCs w:val="21"/>
                    </w:rPr>
                    <w:t>未检出</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999" w:type="dxa"/>
                  <w:tcBorders>
                    <w:top w:val="single" w:color="auto" w:sz="4" w:space="0"/>
                    <w:bottom w:val="single" w:color="auto" w:sz="4" w:space="0"/>
                  </w:tcBorders>
                  <w:vAlign w:val="center"/>
                </w:tcPr>
                <w:p>
                  <w:pPr>
                    <w:adjustRightInd w:val="0"/>
                    <w:snapToGrid w:val="0"/>
                    <w:spacing w:line="240" w:lineRule="exact"/>
                    <w:jc w:val="center"/>
                    <w:rPr>
                      <w:szCs w:val="21"/>
                    </w:rPr>
                  </w:pPr>
                  <w:r>
                    <w:rPr>
                      <w:bCs/>
                      <w:szCs w:val="21"/>
                    </w:rPr>
                    <w:t>动植物油类</w:t>
                  </w:r>
                </w:p>
              </w:tc>
              <w:tc>
                <w:tcPr>
                  <w:tcW w:w="1276" w:type="dxa"/>
                  <w:tcBorders>
                    <w:top w:val="single" w:color="auto" w:sz="4" w:space="0"/>
                    <w:bottom w:val="single" w:color="auto" w:sz="4" w:space="0"/>
                  </w:tcBorders>
                  <w:vAlign w:val="center"/>
                </w:tcPr>
                <w:p>
                  <w:pPr>
                    <w:tabs>
                      <w:tab w:val="left" w:pos="0"/>
                    </w:tabs>
                    <w:jc w:val="center"/>
                    <w:rPr>
                      <w:szCs w:val="21"/>
                    </w:rPr>
                  </w:pPr>
                  <w:r>
                    <w:rPr>
                      <w:rFonts w:hint="eastAsia"/>
                      <w:szCs w:val="21"/>
                    </w:rPr>
                    <w:t>0.0029</w:t>
                  </w:r>
                </w:p>
              </w:tc>
              <w:tc>
                <w:tcPr>
                  <w:tcW w:w="1199" w:type="dxa"/>
                  <w:vMerge w:val="continue"/>
                  <w:vAlign w:val="center"/>
                </w:tcPr>
                <w:p>
                  <w:pPr>
                    <w:jc w:val="center"/>
                    <w:rPr>
                      <w:szCs w:val="21"/>
                    </w:rPr>
                  </w:pPr>
                </w:p>
              </w:tc>
              <w:tc>
                <w:tcPr>
                  <w:tcW w:w="1624" w:type="dxa"/>
                  <w:tcBorders>
                    <w:top w:val="single" w:color="auto" w:sz="4" w:space="0"/>
                    <w:bottom w:val="single" w:color="auto" w:sz="4" w:space="0"/>
                  </w:tcBorders>
                  <w:vAlign w:val="center"/>
                </w:tcPr>
                <w:p>
                  <w:pPr>
                    <w:jc w:val="center"/>
                    <w:rPr>
                      <w:szCs w:val="21"/>
                    </w:rPr>
                  </w:pPr>
                  <w:r>
                    <w:rPr>
                      <w:rFonts w:hint="eastAsia"/>
                      <w:szCs w:val="21"/>
                    </w:rPr>
                    <w:t>0.65</w:t>
                  </w:r>
                </w:p>
              </w:tc>
              <w:tc>
                <w:tcPr>
                  <w:tcW w:w="1624" w:type="dxa"/>
                  <w:vMerge w:val="continue"/>
                  <w:tcBorders>
                    <w:right w:val="single" w:color="auto" w:sz="4" w:space="0"/>
                  </w:tcBorders>
                  <w:vAlign w:val="center"/>
                </w:tcPr>
                <w:p>
                  <w:pPr>
                    <w:jc w:val="center"/>
                    <w:rPr>
                      <w:szCs w:val="21"/>
                    </w:rPr>
                  </w:pPr>
                </w:p>
              </w:tc>
              <w:tc>
                <w:tcPr>
                  <w:tcW w:w="1625" w:type="dxa"/>
                  <w:tcBorders>
                    <w:top w:val="single" w:color="auto" w:sz="4" w:space="0"/>
                    <w:left w:val="single" w:color="auto" w:sz="4" w:space="0"/>
                    <w:bottom w:val="single" w:color="auto" w:sz="4" w:space="0"/>
                  </w:tcBorders>
                  <w:vAlign w:val="center"/>
                </w:tcPr>
                <w:p>
                  <w:pPr>
                    <w:jc w:val="center"/>
                    <w:rPr>
                      <w:rFonts w:ascii="宋体" w:hAnsi="宋体" w:cs="宋体"/>
                      <w:color w:val="000000"/>
                      <w:sz w:val="22"/>
                      <w:szCs w:val="22"/>
                    </w:rPr>
                  </w:pPr>
                  <w:r>
                    <w:rPr>
                      <w:rFonts w:hint="eastAsia"/>
                      <w:color w:val="000000"/>
                      <w:sz w:val="22"/>
                      <w:szCs w:val="22"/>
                    </w:rPr>
                    <w:t>0.00018</w:t>
                  </w:r>
                </w:p>
              </w:tc>
              <w:tc>
                <w:tcPr>
                  <w:tcW w:w="720" w:type="dxa"/>
                  <w:tcBorders>
                    <w:top w:val="single" w:color="auto" w:sz="4" w:space="0"/>
                    <w:bottom w:val="single" w:color="auto" w:sz="4" w:space="0"/>
                  </w:tcBorders>
                  <w:vAlign w:val="center"/>
                </w:tcPr>
                <w:p>
                  <w:pPr>
                    <w:spacing w:line="120" w:lineRule="atLeast"/>
                    <w:jc w:val="center"/>
                    <w:rPr>
                      <w:szCs w:val="21"/>
                    </w:rPr>
                  </w:pPr>
                  <w:r>
                    <w:rPr>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4" w:hRule="atLeast"/>
              </w:trPr>
              <w:tc>
                <w:tcPr>
                  <w:tcW w:w="999" w:type="dxa"/>
                  <w:tcBorders>
                    <w:top w:val="single" w:color="auto" w:sz="4" w:space="0"/>
                    <w:bottom w:val="single" w:color="auto" w:sz="12" w:space="0"/>
                  </w:tcBorders>
                  <w:vAlign w:val="center"/>
                </w:tcPr>
                <w:p>
                  <w:pPr>
                    <w:spacing w:line="120" w:lineRule="atLeast"/>
                    <w:jc w:val="center"/>
                    <w:rPr>
                      <w:szCs w:val="21"/>
                    </w:rPr>
                  </w:pPr>
                  <w:r>
                    <w:rPr>
                      <w:szCs w:val="21"/>
                    </w:rPr>
                    <w:t>备注</w:t>
                  </w:r>
                </w:p>
              </w:tc>
              <w:tc>
                <w:tcPr>
                  <w:tcW w:w="8068" w:type="dxa"/>
                  <w:gridSpan w:val="6"/>
                  <w:tcBorders>
                    <w:top w:val="single" w:color="auto" w:sz="4" w:space="0"/>
                    <w:bottom w:val="single" w:color="auto" w:sz="12" w:space="0"/>
                  </w:tcBorders>
                  <w:vAlign w:val="center"/>
                </w:tcPr>
                <w:p>
                  <w:pPr>
                    <w:spacing w:line="120" w:lineRule="atLeast"/>
                    <w:jc w:val="center"/>
                    <w:rPr>
                      <w:kern w:val="0"/>
                      <w:szCs w:val="21"/>
                      <w:highlight w:val="yellow"/>
                    </w:rPr>
                  </w:pPr>
                  <w:r>
                    <w:rPr>
                      <w:kern w:val="0"/>
                      <w:szCs w:val="21"/>
                    </w:rPr>
                    <w:t>根据企业提供自查报告，</w:t>
                  </w:r>
                  <w:r>
                    <w:rPr>
                      <w:rFonts w:hint="eastAsia"/>
                      <w:kern w:val="0"/>
                      <w:szCs w:val="21"/>
                    </w:rPr>
                    <w:t>全厂废水量为398.8t/a</w:t>
                  </w:r>
                  <w:r>
                    <w:rPr>
                      <w:kern w:val="0"/>
                      <w:szCs w:val="21"/>
                    </w:rPr>
                    <w:t>。</w:t>
                  </w:r>
                </w:p>
              </w:tc>
            </w:tr>
          </w:tbl>
          <w:p>
            <w:pPr>
              <w:adjustRightInd w:val="0"/>
              <w:snapToGrid w:val="0"/>
              <w:spacing w:line="360" w:lineRule="auto"/>
              <w:ind w:firstLine="482" w:firstLineChars="200"/>
              <w:rPr>
                <w:b/>
                <w:sz w:val="24"/>
              </w:rPr>
            </w:pPr>
          </w:p>
          <w:p>
            <w:pPr>
              <w:adjustRightInd w:val="0"/>
              <w:snapToGrid w:val="0"/>
              <w:spacing w:line="360" w:lineRule="auto"/>
              <w:ind w:firstLine="482" w:firstLineChars="200"/>
              <w:rPr>
                <w:b/>
                <w:sz w:val="24"/>
              </w:rPr>
            </w:pPr>
          </w:p>
        </w:tc>
      </w:tr>
    </w:tbl>
    <w:p>
      <w:pPr>
        <w:widowControl/>
        <w:jc w:val="left"/>
        <w:outlineLvl w:val="0"/>
        <w:rPr>
          <w:b/>
          <w:sz w:val="24"/>
        </w:rPr>
      </w:pPr>
      <w:r>
        <w:rPr>
          <w:sz w:val="24"/>
        </w:rPr>
        <w:t>表九</w:t>
      </w:r>
    </w:p>
    <w:tbl>
      <w:tblPr>
        <w:tblStyle w:val="18"/>
        <w:tblW w:w="90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13" w:hRule="atLeast"/>
          <w:jc w:val="center"/>
        </w:trPr>
        <w:tc>
          <w:tcPr>
            <w:tcW w:w="9083" w:type="dxa"/>
          </w:tcPr>
          <w:p>
            <w:pPr>
              <w:jc w:val="center"/>
              <w:rPr>
                <w:rFonts w:eastAsiaTheme="minorEastAsia"/>
                <w:b/>
                <w:bCs/>
                <w:sz w:val="24"/>
              </w:rPr>
            </w:pPr>
            <w:r>
              <w:rPr>
                <w:rFonts w:eastAsiaTheme="minorEastAsia"/>
                <w:b/>
                <w:bCs/>
                <w:sz w:val="24"/>
              </w:rPr>
              <w:t>表9-1 环保管理检查表</w:t>
            </w:r>
          </w:p>
          <w:tbl>
            <w:tblPr>
              <w:tblStyle w:val="18"/>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333"/>
              <w:gridCol w:w="5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tblHeader/>
                <w:jc w:val="center"/>
              </w:trPr>
              <w:tc>
                <w:tcPr>
                  <w:tcW w:w="610" w:type="dxa"/>
                  <w:vAlign w:val="center"/>
                </w:tcPr>
                <w:p>
                  <w:pPr>
                    <w:jc w:val="center"/>
                    <w:rPr>
                      <w:b/>
                      <w:bCs/>
                      <w:szCs w:val="21"/>
                    </w:rPr>
                  </w:pPr>
                  <w:r>
                    <w:rPr>
                      <w:rFonts w:hAnsi="宋体"/>
                      <w:b/>
                      <w:bCs/>
                      <w:szCs w:val="21"/>
                    </w:rPr>
                    <w:t>序号</w:t>
                  </w:r>
                </w:p>
              </w:tc>
              <w:tc>
                <w:tcPr>
                  <w:tcW w:w="2333" w:type="dxa"/>
                  <w:vAlign w:val="center"/>
                </w:tcPr>
                <w:p>
                  <w:pPr>
                    <w:jc w:val="center"/>
                    <w:rPr>
                      <w:b/>
                      <w:bCs/>
                      <w:szCs w:val="21"/>
                    </w:rPr>
                  </w:pPr>
                  <w:r>
                    <w:rPr>
                      <w:rFonts w:hAnsi="宋体"/>
                      <w:b/>
                      <w:bCs/>
                      <w:szCs w:val="21"/>
                    </w:rPr>
                    <w:t>检查内容</w:t>
                  </w:r>
                </w:p>
              </w:tc>
              <w:tc>
                <w:tcPr>
                  <w:tcW w:w="5579" w:type="dxa"/>
                  <w:vAlign w:val="center"/>
                </w:tcPr>
                <w:p>
                  <w:pPr>
                    <w:jc w:val="center"/>
                    <w:rPr>
                      <w:b/>
                      <w:bCs/>
                      <w:szCs w:val="21"/>
                    </w:rPr>
                  </w:pPr>
                  <w:r>
                    <w:rPr>
                      <w:rFonts w:hAnsi="宋体"/>
                      <w:b/>
                      <w:bCs/>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1</w:t>
                  </w:r>
                </w:p>
              </w:tc>
              <w:tc>
                <w:tcPr>
                  <w:tcW w:w="2333" w:type="dxa"/>
                  <w:vAlign w:val="center"/>
                </w:tcPr>
                <w:p>
                  <w:pPr>
                    <w:jc w:val="center"/>
                    <w:rPr>
                      <w:szCs w:val="21"/>
                    </w:rPr>
                  </w:pPr>
                  <w:r>
                    <w:rPr>
                      <w:rFonts w:hAnsi="宋体"/>
                      <w:szCs w:val="21"/>
                    </w:rPr>
                    <w:t>建设项目从立项到试生产各阶段执行环境保护法律、法规、规章制度的情况</w:t>
                  </w:r>
                </w:p>
              </w:tc>
              <w:tc>
                <w:tcPr>
                  <w:tcW w:w="5579" w:type="dxa"/>
                  <w:vAlign w:val="center"/>
                </w:tcPr>
                <w:p>
                  <w:pPr>
                    <w:jc w:val="center"/>
                    <w:rPr>
                      <w:szCs w:val="21"/>
                    </w:rPr>
                  </w:pPr>
                  <w:r>
                    <w:rPr>
                      <w:szCs w:val="21"/>
                    </w:rPr>
                    <w:t>2</w:t>
                  </w:r>
                  <w:r>
                    <w:rPr>
                      <w:rFonts w:hAnsi="宋体"/>
                      <w:szCs w:val="21"/>
                    </w:rPr>
                    <w:t>01</w:t>
                  </w:r>
                  <w:r>
                    <w:rPr>
                      <w:rFonts w:hint="eastAsia" w:hAnsi="宋体"/>
                      <w:szCs w:val="21"/>
                    </w:rPr>
                    <w:t>4</w:t>
                  </w:r>
                  <w:r>
                    <w:rPr>
                      <w:rFonts w:hAnsi="宋体"/>
                      <w:szCs w:val="21"/>
                    </w:rPr>
                    <w:t>年</w:t>
                  </w:r>
                  <w:r>
                    <w:rPr>
                      <w:rFonts w:hint="eastAsia" w:hAnsi="宋体"/>
                      <w:szCs w:val="21"/>
                    </w:rPr>
                    <w:t>5</w:t>
                  </w:r>
                  <w:r>
                    <w:rPr>
                      <w:rFonts w:hAnsi="宋体"/>
                      <w:szCs w:val="21"/>
                    </w:rPr>
                    <w:t>月</w:t>
                  </w:r>
                  <w:r>
                    <w:rPr>
                      <w:rFonts w:hint="eastAsia" w:hAnsi="宋体"/>
                      <w:szCs w:val="21"/>
                    </w:rPr>
                    <w:t>29</w:t>
                  </w:r>
                  <w:r>
                    <w:rPr>
                      <w:rFonts w:hAnsi="宋体"/>
                      <w:szCs w:val="21"/>
                    </w:rPr>
                    <w:t>日，常州高新技术产业开发区经济发展局及常州市新北区经济发展局，（</w:t>
                  </w:r>
                  <w:r>
                    <w:rPr>
                      <w:rFonts w:hint="eastAsia" w:hAnsi="宋体"/>
                      <w:szCs w:val="21"/>
                    </w:rPr>
                    <w:t>备案</w:t>
                  </w:r>
                  <w:r>
                    <w:rPr>
                      <w:rFonts w:hAnsi="宋体"/>
                      <w:szCs w:val="21"/>
                    </w:rPr>
                    <w:t>号</w:t>
                  </w:r>
                  <w:r>
                    <w:rPr>
                      <w:rFonts w:hint="eastAsia" w:hAnsi="宋体"/>
                      <w:szCs w:val="21"/>
                    </w:rPr>
                    <w:t>：2014148</w:t>
                  </w:r>
                  <w:r>
                    <w:rPr>
                      <w:rFonts w:hAnsi="宋体"/>
                      <w:szCs w:val="21"/>
                    </w:rPr>
                    <w:t>）</w:t>
                  </w:r>
                  <w:r>
                    <w:rPr>
                      <w:rFonts w:hint="eastAsia" w:hAnsi="宋体"/>
                      <w:szCs w:val="21"/>
                    </w:rPr>
                    <w:t>；</w:t>
                  </w:r>
                  <w:r>
                    <w:rPr>
                      <w:szCs w:val="21"/>
                    </w:rPr>
                    <w:t>201</w:t>
                  </w:r>
                  <w:r>
                    <w:rPr>
                      <w:rFonts w:hint="eastAsia"/>
                      <w:szCs w:val="21"/>
                    </w:rPr>
                    <w:t>4</w:t>
                  </w:r>
                  <w:r>
                    <w:rPr>
                      <w:szCs w:val="21"/>
                    </w:rPr>
                    <w:t>年</w:t>
                  </w:r>
                  <w:r>
                    <w:rPr>
                      <w:rFonts w:hint="eastAsia"/>
                      <w:szCs w:val="21"/>
                    </w:rPr>
                    <w:t>6</w:t>
                  </w:r>
                  <w:r>
                    <w:rPr>
                      <w:szCs w:val="21"/>
                    </w:rPr>
                    <w:t>月委托江苏常环环境科技有限公司</w:t>
                  </w:r>
                </w:p>
                <w:p>
                  <w:pPr>
                    <w:jc w:val="center"/>
                    <w:rPr>
                      <w:szCs w:val="21"/>
                    </w:rPr>
                  </w:pPr>
                  <w:r>
                    <w:rPr>
                      <w:rFonts w:hAnsi="宋体"/>
                      <w:szCs w:val="21"/>
                    </w:rPr>
                    <w:t>完成本项目环境影响评价报告表</w:t>
                  </w:r>
                  <w:r>
                    <w:rPr>
                      <w:rFonts w:hint="eastAsia" w:hAnsi="宋体"/>
                      <w:szCs w:val="21"/>
                    </w:rPr>
                    <w:t>；</w:t>
                  </w:r>
                  <w:r>
                    <w:rPr>
                      <w:szCs w:val="21"/>
                    </w:rPr>
                    <w:t>201</w:t>
                  </w:r>
                  <w:r>
                    <w:rPr>
                      <w:rFonts w:hint="eastAsia"/>
                      <w:szCs w:val="21"/>
                    </w:rPr>
                    <w:t>4</w:t>
                  </w:r>
                  <w:r>
                    <w:rPr>
                      <w:rFonts w:hAnsi="宋体"/>
                      <w:szCs w:val="21"/>
                    </w:rPr>
                    <w:t>年</w:t>
                  </w:r>
                  <w:r>
                    <w:rPr>
                      <w:rFonts w:hint="eastAsia"/>
                      <w:szCs w:val="21"/>
                    </w:rPr>
                    <w:t>6</w:t>
                  </w:r>
                  <w:r>
                    <w:rPr>
                      <w:rFonts w:hAnsi="宋体"/>
                      <w:szCs w:val="21"/>
                    </w:rPr>
                    <w:t>月</w:t>
                  </w:r>
                  <w:r>
                    <w:rPr>
                      <w:szCs w:val="21"/>
                    </w:rPr>
                    <w:t>1</w:t>
                  </w:r>
                  <w:r>
                    <w:rPr>
                      <w:rFonts w:hint="eastAsia"/>
                      <w:szCs w:val="21"/>
                    </w:rPr>
                    <w:t>8</w:t>
                  </w:r>
                  <w:r>
                    <w:rPr>
                      <w:rFonts w:hAnsi="宋体"/>
                      <w:szCs w:val="21"/>
                    </w:rPr>
                    <w:t>日取得常州国家高新区环境保护局审批意见，批准文号为常新环表[2014]75号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2</w:t>
                  </w:r>
                </w:p>
              </w:tc>
              <w:tc>
                <w:tcPr>
                  <w:tcW w:w="2333" w:type="dxa"/>
                  <w:vAlign w:val="center"/>
                </w:tcPr>
                <w:p>
                  <w:pPr>
                    <w:jc w:val="center"/>
                    <w:rPr>
                      <w:szCs w:val="21"/>
                    </w:rPr>
                  </w:pPr>
                  <w:r>
                    <w:rPr>
                      <w:rFonts w:hAnsi="宋体"/>
                      <w:szCs w:val="21"/>
                    </w:rPr>
                    <w:t>环境保护审批手续及环境保护档案资料</w:t>
                  </w:r>
                </w:p>
              </w:tc>
              <w:tc>
                <w:tcPr>
                  <w:tcW w:w="5579" w:type="dxa"/>
                  <w:vAlign w:val="center"/>
                </w:tcPr>
                <w:p>
                  <w:pPr>
                    <w:jc w:val="center"/>
                    <w:rPr>
                      <w:szCs w:val="21"/>
                    </w:rPr>
                  </w:pPr>
                  <w:r>
                    <w:rPr>
                      <w:rFonts w:hAnsi="宋体"/>
                      <w:szCs w:val="21"/>
                    </w:rPr>
                    <w:t>建设项目环评报告表及批复等环境保护审批手续齐全，环境保护档案资料齐备。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3</w:t>
                  </w:r>
                </w:p>
              </w:tc>
              <w:tc>
                <w:tcPr>
                  <w:tcW w:w="2333" w:type="dxa"/>
                  <w:vAlign w:val="center"/>
                </w:tcPr>
                <w:p>
                  <w:pPr>
                    <w:jc w:val="center"/>
                    <w:rPr>
                      <w:szCs w:val="21"/>
                    </w:rPr>
                  </w:pPr>
                  <w:r>
                    <w:rPr>
                      <w:rFonts w:hAnsi="宋体"/>
                      <w:szCs w:val="21"/>
                    </w:rPr>
                    <w:t>环保组织机构及规章管理制度</w:t>
                  </w:r>
                </w:p>
              </w:tc>
              <w:tc>
                <w:tcPr>
                  <w:tcW w:w="5579" w:type="dxa"/>
                  <w:vAlign w:val="center"/>
                </w:tcPr>
                <w:p>
                  <w:pPr>
                    <w:jc w:val="center"/>
                    <w:rPr>
                      <w:szCs w:val="21"/>
                    </w:rPr>
                  </w:pPr>
                  <w:r>
                    <w:rPr>
                      <w:rFonts w:hAnsi="宋体"/>
                      <w:szCs w:val="21"/>
                    </w:rPr>
                    <w:t>企业有环保管理制度。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4</w:t>
                  </w:r>
                </w:p>
              </w:tc>
              <w:tc>
                <w:tcPr>
                  <w:tcW w:w="2333" w:type="dxa"/>
                  <w:vAlign w:val="center"/>
                </w:tcPr>
                <w:p>
                  <w:pPr>
                    <w:jc w:val="center"/>
                    <w:rPr>
                      <w:szCs w:val="21"/>
                    </w:rPr>
                  </w:pPr>
                  <w:r>
                    <w:rPr>
                      <w:rFonts w:hAnsi="宋体"/>
                      <w:szCs w:val="21"/>
                    </w:rPr>
                    <w:t>环境保护措施落实情况及实施效果</w:t>
                  </w:r>
                </w:p>
              </w:tc>
              <w:tc>
                <w:tcPr>
                  <w:tcW w:w="5579" w:type="dxa"/>
                  <w:vAlign w:val="center"/>
                </w:tcPr>
                <w:p>
                  <w:pPr>
                    <w:jc w:val="center"/>
                    <w:rPr>
                      <w:rFonts w:hAnsi="宋体"/>
                      <w:szCs w:val="21"/>
                    </w:rPr>
                  </w:pPr>
                  <w:r>
                    <w:rPr>
                      <w:rFonts w:hAnsi="宋体"/>
                      <w:szCs w:val="21"/>
                    </w:rPr>
                    <w:t>本项目</w:t>
                  </w:r>
                  <w:r>
                    <w:rPr>
                      <w:rFonts w:hint="eastAsia" w:hAnsi="宋体"/>
                      <w:szCs w:val="21"/>
                    </w:rPr>
                    <w:t>切割</w:t>
                  </w:r>
                  <w:r>
                    <w:rPr>
                      <w:rFonts w:hAnsi="宋体"/>
                      <w:szCs w:val="21"/>
                    </w:rPr>
                    <w:t>废水</w:t>
                  </w:r>
                  <w:r>
                    <w:rPr>
                      <w:rFonts w:hint="eastAsia" w:hAnsi="宋体"/>
                      <w:szCs w:val="21"/>
                    </w:rPr>
                    <w:t>、</w:t>
                  </w:r>
                  <w:r>
                    <w:rPr>
                      <w:rFonts w:hAnsi="宋体"/>
                      <w:szCs w:val="21"/>
                    </w:rPr>
                    <w:t>研磨废水经过滤后与生活污水接入常州江边污水处理厂处理。</w:t>
                  </w:r>
                </w:p>
                <w:p>
                  <w:pPr>
                    <w:jc w:val="center"/>
                    <w:rPr>
                      <w:rFonts w:hAnsi="宋体"/>
                      <w:szCs w:val="21"/>
                    </w:rPr>
                  </w:pPr>
                  <w:r>
                    <w:rPr>
                      <w:rFonts w:hAnsi="宋体"/>
                      <w:szCs w:val="21"/>
                    </w:rPr>
                    <w:t>本项目</w:t>
                  </w:r>
                  <w:r>
                    <w:rPr>
                      <w:rFonts w:hint="eastAsia" w:hAnsi="宋体"/>
                      <w:szCs w:val="21"/>
                    </w:rPr>
                    <w:t>脱脂</w:t>
                  </w:r>
                  <w:r>
                    <w:rPr>
                      <w:rFonts w:hAnsi="宋体"/>
                      <w:szCs w:val="21"/>
                    </w:rPr>
                    <w:t>清洗工序和淬火工序废气收集后共同经过</w:t>
                  </w:r>
                  <w:r>
                    <w:rPr>
                      <w:rFonts w:hint="eastAsia" w:hAnsi="宋体"/>
                      <w:szCs w:val="21"/>
                    </w:rPr>
                    <w:t>1</w:t>
                  </w:r>
                  <w:r>
                    <w:rPr>
                      <w:rFonts w:hAnsi="宋体"/>
                      <w:szCs w:val="21"/>
                    </w:rPr>
                    <w:t>套活性炭装置处理后通过</w:t>
                  </w:r>
                  <w:r>
                    <w:rPr>
                      <w:rFonts w:hint="eastAsia" w:hAnsi="宋体"/>
                      <w:szCs w:val="21"/>
                    </w:rPr>
                    <w:t>15米高排气筒FQ2排放；回火工序和消磁退火工序废气收集后分别经2套活性炭吸附装置处理后通过15米高排气筒FQ1排放</w:t>
                  </w:r>
                  <w:r>
                    <w:rPr>
                      <w:rFonts w:hAnsi="宋体"/>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5</w:t>
                  </w:r>
                </w:p>
              </w:tc>
              <w:tc>
                <w:tcPr>
                  <w:tcW w:w="2333" w:type="dxa"/>
                  <w:vAlign w:val="center"/>
                </w:tcPr>
                <w:p>
                  <w:pPr>
                    <w:jc w:val="center"/>
                    <w:rPr>
                      <w:szCs w:val="21"/>
                    </w:rPr>
                  </w:pPr>
                  <w:r>
                    <w:rPr>
                      <w:rFonts w:hAnsi="宋体"/>
                      <w:szCs w:val="21"/>
                    </w:rPr>
                    <w:t>环境保护监测计划，包括检测机构设置、人员配置、监测计划和仪器设备</w:t>
                  </w:r>
                </w:p>
              </w:tc>
              <w:tc>
                <w:tcPr>
                  <w:tcW w:w="5579" w:type="dxa"/>
                  <w:vAlign w:val="center"/>
                </w:tcPr>
                <w:p>
                  <w:pPr>
                    <w:jc w:val="center"/>
                    <w:rPr>
                      <w:szCs w:val="21"/>
                    </w:rPr>
                  </w:pPr>
                  <w:r>
                    <w:rPr>
                      <w:rFonts w:hAnsi="宋体"/>
                      <w:szCs w:val="21"/>
                    </w:rPr>
                    <w:t>计划委托第三方检测机构对污染物进行定期检测。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6</w:t>
                  </w:r>
                </w:p>
              </w:tc>
              <w:tc>
                <w:tcPr>
                  <w:tcW w:w="2333" w:type="dxa"/>
                  <w:vAlign w:val="center"/>
                </w:tcPr>
                <w:p>
                  <w:pPr>
                    <w:jc w:val="center"/>
                    <w:rPr>
                      <w:szCs w:val="21"/>
                    </w:rPr>
                  </w:pPr>
                  <w:r>
                    <w:rPr>
                      <w:rFonts w:hAnsi="宋体"/>
                      <w:szCs w:val="21"/>
                    </w:rPr>
                    <w:t>排污口规范化情况检查</w:t>
                  </w:r>
                </w:p>
              </w:tc>
              <w:tc>
                <w:tcPr>
                  <w:tcW w:w="5579" w:type="dxa"/>
                  <w:vAlign w:val="center"/>
                </w:tcPr>
                <w:p>
                  <w:pPr>
                    <w:jc w:val="center"/>
                    <w:rPr>
                      <w:szCs w:val="21"/>
                    </w:rPr>
                  </w:pPr>
                  <w:r>
                    <w:rPr>
                      <w:rFonts w:hAnsi="宋体"/>
                      <w:szCs w:val="21"/>
                    </w:rPr>
                    <w:t>本项目设置雨水排口</w:t>
                  </w:r>
                  <w:r>
                    <w:rPr>
                      <w:rFonts w:hint="eastAsia" w:hAnsi="宋体"/>
                      <w:szCs w:val="21"/>
                    </w:rPr>
                    <w:t>1个、</w:t>
                  </w:r>
                  <w:r>
                    <w:rPr>
                      <w:rFonts w:hAnsi="宋体"/>
                      <w:szCs w:val="21"/>
                    </w:rPr>
                    <w:t>污水排口</w:t>
                  </w:r>
                  <w:r>
                    <w:rPr>
                      <w:rFonts w:hint="eastAsia" w:hAnsi="宋体"/>
                      <w:szCs w:val="21"/>
                    </w:rPr>
                    <w:t>1个、</w:t>
                  </w:r>
                  <w:r>
                    <w:rPr>
                      <w:rFonts w:hAnsi="宋体"/>
                      <w:szCs w:val="21"/>
                    </w:rPr>
                    <w:t>废气排口</w:t>
                  </w:r>
                  <w:r>
                    <w:rPr>
                      <w:rFonts w:hint="eastAsia"/>
                      <w:szCs w:val="21"/>
                    </w:rPr>
                    <w:t>2</w:t>
                  </w:r>
                  <w:r>
                    <w:rPr>
                      <w:rFonts w:hAnsi="宋体"/>
                      <w:szCs w:val="21"/>
                    </w:rPr>
                    <w:t>个，具备监测条件，已悬挂标志牌。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610" w:type="dxa"/>
                  <w:vAlign w:val="center"/>
                </w:tcPr>
                <w:p>
                  <w:pPr>
                    <w:jc w:val="center"/>
                    <w:rPr>
                      <w:szCs w:val="21"/>
                    </w:rPr>
                  </w:pPr>
                  <w:r>
                    <w:rPr>
                      <w:szCs w:val="21"/>
                    </w:rPr>
                    <w:t>7</w:t>
                  </w:r>
                </w:p>
              </w:tc>
              <w:tc>
                <w:tcPr>
                  <w:tcW w:w="2333" w:type="dxa"/>
                  <w:vAlign w:val="center"/>
                </w:tcPr>
                <w:p>
                  <w:pPr>
                    <w:jc w:val="center"/>
                    <w:rPr>
                      <w:szCs w:val="21"/>
                    </w:rPr>
                  </w:pPr>
                  <w:r>
                    <w:rPr>
                      <w:rFonts w:hAnsi="宋体"/>
                      <w:szCs w:val="21"/>
                    </w:rPr>
                    <w:t>固体废物种类、产生量、处理处置情况、综合利用情况</w:t>
                  </w:r>
                </w:p>
              </w:tc>
              <w:tc>
                <w:tcPr>
                  <w:tcW w:w="5579" w:type="dxa"/>
                  <w:vAlign w:val="center"/>
                </w:tcPr>
                <w:p>
                  <w:pPr>
                    <w:ind w:firstLine="420" w:firstLineChars="200"/>
                    <w:rPr>
                      <w:rFonts w:hAnsi="宋体"/>
                      <w:szCs w:val="21"/>
                    </w:rPr>
                  </w:pPr>
                  <w:r>
                    <w:rPr>
                      <w:rFonts w:hAnsi="宋体"/>
                      <w:szCs w:val="21"/>
                    </w:rPr>
                    <w:t>本项目产生的</w:t>
                  </w:r>
                  <w:r>
                    <w:rPr>
                      <w:rFonts w:hint="eastAsia" w:hAnsi="宋体"/>
                      <w:szCs w:val="21"/>
                    </w:rPr>
                    <w:t>废热媒体油、废真空泵油委托常州市锦云工业废弃物处理有限公司处置，过滤残渣、蒸馏残渣产生少量暂存于危废仓库，废活性炭暂未产生，企业承诺</w:t>
                  </w:r>
                  <w:r>
                    <w:rPr>
                      <w:rFonts w:hAnsi="宋体"/>
                      <w:szCs w:val="21"/>
                    </w:rPr>
                    <w:t>及时签订危险废物处置协议，在找到合适的固废处置单位前于厂区内规范贮存。</w:t>
                  </w:r>
                </w:p>
              </w:tc>
            </w:tr>
          </w:tbl>
          <w:p>
            <w:pPr>
              <w:spacing w:beforeLines="50" w:line="360" w:lineRule="auto"/>
              <w:ind w:firstLine="480" w:firstLineChars="200"/>
              <w:rPr>
                <w:szCs w:val="21"/>
              </w:rPr>
            </w:pPr>
            <w:r>
              <w:rPr>
                <w:rFonts w:hAnsi="宋体"/>
                <w:sz w:val="24"/>
              </w:rPr>
              <w:t>丰臣（常州）热处理有限公司计划总投资</w:t>
            </w:r>
            <w:r>
              <w:rPr>
                <w:rFonts w:hint="eastAsia" w:hAnsi="宋体"/>
                <w:sz w:val="24"/>
              </w:rPr>
              <w:t>8</w:t>
            </w:r>
            <w:r>
              <w:rPr>
                <w:rFonts w:hAnsi="宋体"/>
                <w:sz w:val="24"/>
              </w:rPr>
              <w:t>00万美元，计划环保投资</w:t>
            </w:r>
            <w:r>
              <w:rPr>
                <w:rFonts w:hint="eastAsia" w:hAnsi="宋体"/>
                <w:sz w:val="24"/>
              </w:rPr>
              <w:t>48</w:t>
            </w:r>
            <w:r>
              <w:rPr>
                <w:rFonts w:hAnsi="宋体"/>
                <w:sz w:val="24"/>
              </w:rPr>
              <w:t>万元，占计划总投资的</w:t>
            </w:r>
            <w:r>
              <w:rPr>
                <w:rFonts w:hint="eastAsia" w:hAnsi="宋体"/>
                <w:sz w:val="24"/>
              </w:rPr>
              <w:t>1</w:t>
            </w:r>
            <w:r>
              <w:rPr>
                <w:rFonts w:hAnsi="宋体"/>
                <w:sz w:val="24"/>
              </w:rPr>
              <w:t>%；实际总投资</w:t>
            </w:r>
            <w:r>
              <w:rPr>
                <w:rFonts w:hint="eastAsia" w:hAnsi="宋体"/>
                <w:sz w:val="24"/>
              </w:rPr>
              <w:t>750万美</w:t>
            </w:r>
            <w:r>
              <w:rPr>
                <w:rFonts w:hAnsi="宋体"/>
                <w:sz w:val="24"/>
              </w:rPr>
              <w:t>元，环保投资</w:t>
            </w:r>
            <w:r>
              <w:rPr>
                <w:rFonts w:hint="eastAsia" w:hAnsi="宋体"/>
                <w:sz w:val="24"/>
              </w:rPr>
              <w:t>48</w:t>
            </w:r>
            <w:r>
              <w:rPr>
                <w:rFonts w:hAnsi="宋体"/>
                <w:sz w:val="24"/>
              </w:rPr>
              <w:t>万元，占实际总投资的</w:t>
            </w:r>
            <w:r>
              <w:rPr>
                <w:rFonts w:hint="eastAsia" w:hAnsi="宋体"/>
                <w:sz w:val="24"/>
              </w:rPr>
              <w:t>1.08</w:t>
            </w:r>
            <w:r>
              <w:rPr>
                <w:rFonts w:hAnsi="宋体"/>
                <w:sz w:val="24"/>
              </w:rPr>
              <w:t>%。</w:t>
            </w:r>
          </w:p>
          <w:p>
            <w:pPr>
              <w:jc w:val="center"/>
              <w:rPr>
                <w:rFonts w:eastAsiaTheme="minorEastAsia"/>
                <w:b/>
                <w:bCs/>
                <w:sz w:val="24"/>
              </w:rPr>
            </w:pPr>
            <w:r>
              <w:rPr>
                <w:rFonts w:eastAsiaTheme="minorEastAsia"/>
                <w:b/>
                <w:bCs/>
                <w:sz w:val="24"/>
              </w:rPr>
              <w:t>表9-2  项目环保设施检查情况一览表</w:t>
            </w:r>
          </w:p>
          <w:tbl>
            <w:tblPr>
              <w:tblStyle w:val="18"/>
              <w:tblW w:w="83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6"/>
              <w:gridCol w:w="1011"/>
              <w:gridCol w:w="2572"/>
              <w:gridCol w:w="902"/>
              <w:gridCol w:w="2500"/>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b/>
                      <w:bCs/>
                      <w:szCs w:val="21"/>
                    </w:rPr>
                  </w:pPr>
                  <w:r>
                    <w:rPr>
                      <w:rFonts w:hAnsi="宋体"/>
                      <w:b/>
                      <w:bCs/>
                      <w:szCs w:val="21"/>
                    </w:rPr>
                    <w:t>项目</w:t>
                  </w:r>
                </w:p>
                <w:p>
                  <w:pPr>
                    <w:jc w:val="center"/>
                    <w:rPr>
                      <w:b/>
                      <w:bCs/>
                      <w:szCs w:val="21"/>
                    </w:rPr>
                  </w:pPr>
                  <w:r>
                    <w:rPr>
                      <w:rFonts w:hAnsi="宋体"/>
                      <w:b/>
                      <w:bCs/>
                      <w:szCs w:val="21"/>
                    </w:rPr>
                    <w:t>名称</w:t>
                  </w:r>
                </w:p>
              </w:tc>
              <w:tc>
                <w:tcPr>
                  <w:tcW w:w="7806" w:type="dxa"/>
                  <w:gridSpan w:val="5"/>
                  <w:vAlign w:val="center"/>
                </w:tcPr>
                <w:p>
                  <w:pPr>
                    <w:jc w:val="center"/>
                    <w:rPr>
                      <w:b/>
                      <w:bCs/>
                      <w:szCs w:val="21"/>
                    </w:rPr>
                  </w:pPr>
                  <w:r>
                    <w:rPr>
                      <w:rFonts w:hAnsi="宋体"/>
                      <w:b/>
                      <w:bCs/>
                      <w:szCs w:val="21"/>
                    </w:rPr>
                    <w:t>新建金属制品热处理加工项目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szCs w:val="21"/>
                    </w:rPr>
                  </w:pPr>
                  <w:r>
                    <w:rPr>
                      <w:rFonts w:hAnsi="宋体"/>
                      <w:szCs w:val="21"/>
                    </w:rPr>
                    <w:t>类别</w:t>
                  </w:r>
                </w:p>
              </w:tc>
              <w:tc>
                <w:tcPr>
                  <w:tcW w:w="1011" w:type="dxa"/>
                  <w:vAlign w:val="center"/>
                </w:tcPr>
                <w:p>
                  <w:pPr>
                    <w:jc w:val="center"/>
                    <w:rPr>
                      <w:szCs w:val="21"/>
                    </w:rPr>
                  </w:pPr>
                  <w:r>
                    <w:rPr>
                      <w:rFonts w:hAnsi="宋体"/>
                      <w:szCs w:val="21"/>
                    </w:rPr>
                    <w:t>污染源</w:t>
                  </w:r>
                </w:p>
              </w:tc>
              <w:tc>
                <w:tcPr>
                  <w:tcW w:w="2572" w:type="dxa"/>
                  <w:vAlign w:val="center"/>
                </w:tcPr>
                <w:p>
                  <w:pPr>
                    <w:jc w:val="center"/>
                    <w:rPr>
                      <w:szCs w:val="21"/>
                    </w:rPr>
                  </w:pPr>
                  <w:r>
                    <w:rPr>
                      <w:rFonts w:hAnsi="宋体"/>
                      <w:szCs w:val="21"/>
                    </w:rPr>
                    <w:t>治理措施（建设数量、规模、处理能力等）</w:t>
                  </w:r>
                </w:p>
              </w:tc>
              <w:tc>
                <w:tcPr>
                  <w:tcW w:w="902" w:type="dxa"/>
                  <w:vAlign w:val="center"/>
                </w:tcPr>
                <w:p>
                  <w:pPr>
                    <w:jc w:val="center"/>
                    <w:rPr>
                      <w:szCs w:val="21"/>
                    </w:rPr>
                  </w:pPr>
                  <w:r>
                    <w:rPr>
                      <w:rFonts w:hAnsi="宋体"/>
                      <w:szCs w:val="21"/>
                    </w:rPr>
                    <w:t>环保投资（万元）</w:t>
                  </w:r>
                </w:p>
              </w:tc>
              <w:tc>
                <w:tcPr>
                  <w:tcW w:w="2500" w:type="dxa"/>
                  <w:vAlign w:val="center"/>
                </w:tcPr>
                <w:p>
                  <w:pPr>
                    <w:jc w:val="center"/>
                    <w:rPr>
                      <w:szCs w:val="21"/>
                    </w:rPr>
                  </w:pPr>
                  <w:r>
                    <w:rPr>
                      <w:rFonts w:hAnsi="宋体"/>
                      <w:szCs w:val="21"/>
                    </w:rPr>
                    <w:t>实际治理措施（建设数量、规模、处理能力等）</w:t>
                  </w:r>
                </w:p>
              </w:tc>
              <w:tc>
                <w:tcPr>
                  <w:tcW w:w="821" w:type="dxa"/>
                  <w:vAlign w:val="center"/>
                </w:tcPr>
                <w:p>
                  <w:pPr>
                    <w:jc w:val="center"/>
                    <w:rPr>
                      <w:szCs w:val="21"/>
                    </w:rPr>
                  </w:pPr>
                  <w:r>
                    <w:rPr>
                      <w:rFonts w:hAnsi="宋体"/>
                      <w:szCs w:val="21"/>
                    </w:rPr>
                    <w:t>实际环保投资（万元）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szCs w:val="21"/>
                    </w:rPr>
                  </w:pPr>
                  <w:r>
                    <w:rPr>
                      <w:rFonts w:hAnsi="宋体"/>
                      <w:szCs w:val="21"/>
                    </w:rPr>
                    <w:t>废水</w:t>
                  </w:r>
                </w:p>
              </w:tc>
              <w:tc>
                <w:tcPr>
                  <w:tcW w:w="1011" w:type="dxa"/>
                  <w:vAlign w:val="center"/>
                </w:tcPr>
                <w:p>
                  <w:pPr>
                    <w:jc w:val="center"/>
                    <w:rPr>
                      <w:szCs w:val="21"/>
                    </w:rPr>
                  </w:pPr>
                  <w:r>
                    <w:rPr>
                      <w:rFonts w:hAnsi="宋体"/>
                      <w:szCs w:val="21"/>
                    </w:rPr>
                    <w:t>生活污水</w:t>
                  </w:r>
                </w:p>
              </w:tc>
              <w:tc>
                <w:tcPr>
                  <w:tcW w:w="2572" w:type="dxa"/>
                  <w:vAlign w:val="center"/>
                </w:tcPr>
                <w:p>
                  <w:pPr>
                    <w:jc w:val="center"/>
                    <w:rPr>
                      <w:szCs w:val="21"/>
                    </w:rPr>
                  </w:pPr>
                  <w:r>
                    <w:rPr>
                      <w:rFonts w:hint="eastAsia" w:hAnsi="宋体"/>
                      <w:bCs/>
                      <w:szCs w:val="21"/>
                    </w:rPr>
                    <w:t>/</w:t>
                  </w:r>
                </w:p>
              </w:tc>
              <w:tc>
                <w:tcPr>
                  <w:tcW w:w="902" w:type="dxa"/>
                  <w:vAlign w:val="center"/>
                </w:tcPr>
                <w:p>
                  <w:pPr>
                    <w:jc w:val="center"/>
                    <w:rPr>
                      <w:szCs w:val="21"/>
                    </w:rPr>
                  </w:pPr>
                  <w:r>
                    <w:rPr>
                      <w:szCs w:val="21"/>
                    </w:rPr>
                    <w:t>/</w:t>
                  </w:r>
                </w:p>
              </w:tc>
              <w:tc>
                <w:tcPr>
                  <w:tcW w:w="2500" w:type="dxa"/>
                  <w:vAlign w:val="center"/>
                </w:tcPr>
                <w:p>
                  <w:pPr>
                    <w:jc w:val="center"/>
                    <w:rPr>
                      <w:szCs w:val="21"/>
                    </w:rPr>
                  </w:pPr>
                  <w:r>
                    <w:rPr>
                      <w:rFonts w:hint="eastAsia" w:hAnsi="宋体"/>
                      <w:bCs/>
                      <w:szCs w:val="21"/>
                    </w:rPr>
                    <w:t>/</w:t>
                  </w:r>
                </w:p>
              </w:tc>
              <w:tc>
                <w:tcPr>
                  <w:tcW w:w="821"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szCs w:val="21"/>
                    </w:rPr>
                  </w:pPr>
                  <w:r>
                    <w:rPr>
                      <w:rFonts w:hAnsi="宋体"/>
                      <w:szCs w:val="21"/>
                    </w:rPr>
                    <w:t>废气</w:t>
                  </w:r>
                </w:p>
              </w:tc>
              <w:tc>
                <w:tcPr>
                  <w:tcW w:w="1011" w:type="dxa"/>
                  <w:vAlign w:val="center"/>
                </w:tcPr>
                <w:p>
                  <w:pPr>
                    <w:jc w:val="center"/>
                    <w:rPr>
                      <w:szCs w:val="21"/>
                    </w:rPr>
                  </w:pPr>
                  <w:r>
                    <w:rPr>
                      <w:szCs w:val="21"/>
                    </w:rPr>
                    <w:t>脱脂清洗</w:t>
                  </w:r>
                </w:p>
              </w:tc>
              <w:tc>
                <w:tcPr>
                  <w:tcW w:w="2572" w:type="dxa"/>
                  <w:vAlign w:val="center"/>
                </w:tcPr>
                <w:p>
                  <w:pPr>
                    <w:jc w:val="center"/>
                    <w:rPr>
                      <w:szCs w:val="21"/>
                    </w:rPr>
                  </w:pPr>
                  <w:r>
                    <w:rPr>
                      <w:rFonts w:hint="eastAsia"/>
                      <w:szCs w:val="21"/>
                    </w:rPr>
                    <w:t>活性炭吸附装置</w:t>
                  </w:r>
                </w:p>
              </w:tc>
              <w:tc>
                <w:tcPr>
                  <w:tcW w:w="902" w:type="dxa"/>
                  <w:vAlign w:val="center"/>
                </w:tcPr>
                <w:p>
                  <w:pPr>
                    <w:jc w:val="center"/>
                    <w:rPr>
                      <w:szCs w:val="21"/>
                    </w:rPr>
                  </w:pPr>
                  <w:r>
                    <w:rPr>
                      <w:rFonts w:hint="eastAsia"/>
                      <w:szCs w:val="21"/>
                    </w:rPr>
                    <w:t>/</w:t>
                  </w:r>
                </w:p>
              </w:tc>
              <w:tc>
                <w:tcPr>
                  <w:tcW w:w="2500" w:type="dxa"/>
                  <w:vAlign w:val="center"/>
                </w:tcPr>
                <w:p>
                  <w:pPr>
                    <w:jc w:val="center"/>
                    <w:rPr>
                      <w:szCs w:val="21"/>
                    </w:rPr>
                  </w:pPr>
                  <w:r>
                    <w:rPr>
                      <w:rFonts w:hint="eastAsia"/>
                      <w:szCs w:val="21"/>
                    </w:rPr>
                    <w:t>3套串联活性炭吸附装置</w:t>
                  </w:r>
                </w:p>
              </w:tc>
              <w:tc>
                <w:tcPr>
                  <w:tcW w:w="821" w:type="dxa"/>
                  <w:vAlign w:val="center"/>
                </w:tcPr>
                <w:p>
                  <w:pPr>
                    <w:jc w:val="center"/>
                    <w:rPr>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tcBorders>
                    <w:top w:val="single" w:color="auto" w:sz="4" w:space="0"/>
                    <w:bottom w:val="single" w:color="auto" w:sz="4" w:space="0"/>
                  </w:tcBorders>
                  <w:vAlign w:val="center"/>
                </w:tcPr>
                <w:p>
                  <w:pPr>
                    <w:jc w:val="center"/>
                    <w:rPr>
                      <w:szCs w:val="21"/>
                    </w:rPr>
                  </w:pPr>
                  <w:r>
                    <w:rPr>
                      <w:rFonts w:hAnsi="宋体"/>
                      <w:szCs w:val="21"/>
                    </w:rPr>
                    <w:t>噪声</w:t>
                  </w:r>
                </w:p>
              </w:tc>
              <w:tc>
                <w:tcPr>
                  <w:tcW w:w="1011" w:type="dxa"/>
                  <w:tcBorders>
                    <w:top w:val="single" w:color="auto" w:sz="4" w:space="0"/>
                    <w:bottom w:val="single" w:color="auto" w:sz="4" w:space="0"/>
                  </w:tcBorders>
                  <w:vAlign w:val="center"/>
                </w:tcPr>
                <w:p>
                  <w:pPr>
                    <w:jc w:val="center"/>
                    <w:rPr>
                      <w:szCs w:val="21"/>
                    </w:rPr>
                  </w:pPr>
                  <w:r>
                    <w:rPr>
                      <w:rFonts w:hAnsi="宋体"/>
                      <w:szCs w:val="21"/>
                    </w:rPr>
                    <w:t>设备噪声</w:t>
                  </w:r>
                </w:p>
              </w:tc>
              <w:tc>
                <w:tcPr>
                  <w:tcW w:w="2572" w:type="dxa"/>
                  <w:tcBorders>
                    <w:top w:val="single" w:color="auto" w:sz="4" w:space="0"/>
                    <w:bottom w:val="single" w:color="auto" w:sz="4" w:space="0"/>
                  </w:tcBorders>
                  <w:vAlign w:val="center"/>
                </w:tcPr>
                <w:p>
                  <w:pPr>
                    <w:jc w:val="center"/>
                    <w:rPr>
                      <w:szCs w:val="21"/>
                    </w:rPr>
                  </w:pPr>
                  <w:r>
                    <w:rPr>
                      <w:rFonts w:hint="eastAsia" w:hAnsi="宋体"/>
                      <w:szCs w:val="21"/>
                    </w:rPr>
                    <w:t>墙体</w:t>
                  </w:r>
                  <w:r>
                    <w:rPr>
                      <w:rFonts w:hAnsi="宋体"/>
                      <w:szCs w:val="21"/>
                    </w:rPr>
                    <w:t>隔声和距离衰减</w:t>
                  </w:r>
                </w:p>
              </w:tc>
              <w:tc>
                <w:tcPr>
                  <w:tcW w:w="902" w:type="dxa"/>
                  <w:tcBorders>
                    <w:top w:val="single" w:color="auto" w:sz="4" w:space="0"/>
                    <w:bottom w:val="single" w:color="auto" w:sz="4" w:space="0"/>
                  </w:tcBorders>
                  <w:vAlign w:val="center"/>
                </w:tcPr>
                <w:p>
                  <w:pPr>
                    <w:jc w:val="center"/>
                    <w:rPr>
                      <w:szCs w:val="21"/>
                    </w:rPr>
                  </w:pPr>
                  <w:r>
                    <w:rPr>
                      <w:rFonts w:hint="eastAsia"/>
                      <w:szCs w:val="21"/>
                    </w:rPr>
                    <w:t>/</w:t>
                  </w:r>
                </w:p>
              </w:tc>
              <w:tc>
                <w:tcPr>
                  <w:tcW w:w="2500" w:type="dxa"/>
                  <w:tcBorders>
                    <w:top w:val="single" w:color="auto" w:sz="4" w:space="0"/>
                    <w:bottom w:val="single" w:color="auto" w:sz="4" w:space="0"/>
                  </w:tcBorders>
                  <w:vAlign w:val="center"/>
                </w:tcPr>
                <w:p>
                  <w:pPr>
                    <w:jc w:val="center"/>
                    <w:rPr>
                      <w:szCs w:val="21"/>
                    </w:rPr>
                  </w:pPr>
                  <w:r>
                    <w:rPr>
                      <w:rFonts w:hint="eastAsia" w:hAnsi="宋体"/>
                      <w:szCs w:val="21"/>
                    </w:rPr>
                    <w:t>墙体</w:t>
                  </w:r>
                  <w:r>
                    <w:rPr>
                      <w:rFonts w:hAnsi="宋体"/>
                      <w:szCs w:val="21"/>
                    </w:rPr>
                    <w:t>隔声和距离衰减</w:t>
                  </w:r>
                </w:p>
              </w:tc>
              <w:tc>
                <w:tcPr>
                  <w:tcW w:w="821" w:type="dxa"/>
                  <w:tcBorders>
                    <w:top w:val="single" w:color="auto" w:sz="4" w:space="0"/>
                    <w:bottom w:val="single" w:color="auto" w:sz="4" w:space="0"/>
                  </w:tcBorders>
                  <w:vAlign w:val="center"/>
                </w:tcPr>
                <w:p>
                  <w:pPr>
                    <w:jc w:val="center"/>
                    <w:rPr>
                      <w:szCs w:val="21"/>
                    </w:rPr>
                  </w:pP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tcBorders>
                    <w:top w:val="single" w:color="auto" w:sz="4" w:space="0"/>
                  </w:tcBorders>
                  <w:vAlign w:val="center"/>
                </w:tcPr>
                <w:p>
                  <w:pPr>
                    <w:jc w:val="center"/>
                    <w:rPr>
                      <w:szCs w:val="21"/>
                    </w:rPr>
                  </w:pPr>
                  <w:r>
                    <w:rPr>
                      <w:rFonts w:hAnsi="宋体"/>
                      <w:szCs w:val="21"/>
                    </w:rPr>
                    <w:t>固废</w:t>
                  </w:r>
                </w:p>
              </w:tc>
              <w:tc>
                <w:tcPr>
                  <w:tcW w:w="1011" w:type="dxa"/>
                  <w:tcBorders>
                    <w:top w:val="single" w:color="auto" w:sz="4" w:space="0"/>
                  </w:tcBorders>
                  <w:vAlign w:val="center"/>
                </w:tcPr>
                <w:p>
                  <w:pPr>
                    <w:jc w:val="center"/>
                    <w:rPr>
                      <w:szCs w:val="21"/>
                    </w:rPr>
                  </w:pPr>
                  <w:r>
                    <w:rPr>
                      <w:rFonts w:hAnsi="宋体"/>
                      <w:szCs w:val="21"/>
                    </w:rPr>
                    <w:t>各类固废</w:t>
                  </w:r>
                </w:p>
              </w:tc>
              <w:tc>
                <w:tcPr>
                  <w:tcW w:w="2572" w:type="dxa"/>
                  <w:tcBorders>
                    <w:top w:val="single" w:color="auto" w:sz="4" w:space="0"/>
                  </w:tcBorders>
                  <w:vAlign w:val="center"/>
                </w:tcPr>
                <w:p>
                  <w:pPr>
                    <w:jc w:val="center"/>
                    <w:rPr>
                      <w:szCs w:val="21"/>
                    </w:rPr>
                  </w:pPr>
                  <w:r>
                    <w:rPr>
                      <w:rFonts w:hint="eastAsia" w:hAnsi="宋体"/>
                      <w:szCs w:val="21"/>
                    </w:rPr>
                    <w:t>危废堆场、一般固废堆场、交由有</w:t>
                  </w:r>
                  <w:r>
                    <w:rPr>
                      <w:rFonts w:hint="eastAsia"/>
                      <w:szCs w:val="21"/>
                    </w:rPr>
                    <w:t>资质的单位处置</w:t>
                  </w:r>
                </w:p>
              </w:tc>
              <w:tc>
                <w:tcPr>
                  <w:tcW w:w="902" w:type="dxa"/>
                  <w:tcBorders>
                    <w:top w:val="single" w:color="auto" w:sz="4" w:space="0"/>
                  </w:tcBorders>
                  <w:vAlign w:val="center"/>
                </w:tcPr>
                <w:p>
                  <w:pPr>
                    <w:jc w:val="center"/>
                    <w:rPr>
                      <w:szCs w:val="21"/>
                    </w:rPr>
                  </w:pPr>
                  <w:r>
                    <w:rPr>
                      <w:rFonts w:hint="eastAsia"/>
                      <w:szCs w:val="21"/>
                    </w:rPr>
                    <w:t>/</w:t>
                  </w:r>
                </w:p>
              </w:tc>
              <w:tc>
                <w:tcPr>
                  <w:tcW w:w="2500" w:type="dxa"/>
                  <w:tcBorders>
                    <w:top w:val="single" w:color="auto" w:sz="4" w:space="0"/>
                  </w:tcBorders>
                  <w:vAlign w:val="center"/>
                </w:tcPr>
                <w:p>
                  <w:pPr>
                    <w:jc w:val="center"/>
                    <w:rPr>
                      <w:szCs w:val="21"/>
                    </w:rPr>
                  </w:pPr>
                  <w:r>
                    <w:rPr>
                      <w:rFonts w:hint="eastAsia"/>
                      <w:szCs w:val="21"/>
                    </w:rPr>
                    <w:t>危废堆场、</w:t>
                  </w:r>
                  <w:r>
                    <w:rPr>
                      <w:rFonts w:hint="eastAsia" w:hAnsi="宋体"/>
                      <w:szCs w:val="21"/>
                    </w:rPr>
                    <w:t>一般固废堆场、</w:t>
                  </w:r>
                  <w:r>
                    <w:rPr>
                      <w:rFonts w:hint="eastAsia"/>
                      <w:szCs w:val="21"/>
                    </w:rPr>
                    <w:t>交于有资质的单位处置</w:t>
                  </w:r>
                </w:p>
              </w:tc>
              <w:tc>
                <w:tcPr>
                  <w:tcW w:w="821" w:type="dxa"/>
                  <w:tcBorders>
                    <w:top w:val="single" w:color="auto" w:sz="4" w:space="0"/>
                  </w:tcBorders>
                  <w:vAlign w:val="center"/>
                </w:tcPr>
                <w:p>
                  <w:pPr>
                    <w:jc w:val="center"/>
                    <w:rPr>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szCs w:val="21"/>
                    </w:rPr>
                  </w:pPr>
                  <w:r>
                    <w:rPr>
                      <w:rFonts w:hAnsi="宋体"/>
                      <w:szCs w:val="21"/>
                    </w:rPr>
                    <w:t>绿化</w:t>
                  </w:r>
                </w:p>
              </w:tc>
              <w:tc>
                <w:tcPr>
                  <w:tcW w:w="3583" w:type="dxa"/>
                  <w:gridSpan w:val="2"/>
                  <w:vAlign w:val="center"/>
                </w:tcPr>
                <w:p>
                  <w:pPr>
                    <w:jc w:val="center"/>
                    <w:rPr>
                      <w:szCs w:val="21"/>
                    </w:rPr>
                  </w:pPr>
                  <w:r>
                    <w:rPr>
                      <w:rFonts w:hAnsi="宋体"/>
                      <w:szCs w:val="21"/>
                    </w:rPr>
                    <w:t>依托原有</w:t>
                  </w:r>
                </w:p>
              </w:tc>
              <w:tc>
                <w:tcPr>
                  <w:tcW w:w="902" w:type="dxa"/>
                  <w:tcBorders>
                    <w:top w:val="single" w:color="auto" w:sz="4" w:space="0"/>
                  </w:tcBorders>
                  <w:vAlign w:val="center"/>
                </w:tcPr>
                <w:p>
                  <w:pPr>
                    <w:jc w:val="center"/>
                    <w:rPr>
                      <w:szCs w:val="21"/>
                    </w:rPr>
                  </w:pPr>
                  <w:r>
                    <w:rPr>
                      <w:rFonts w:hint="eastAsia"/>
                      <w:szCs w:val="21"/>
                    </w:rPr>
                    <w:t>/</w:t>
                  </w:r>
                </w:p>
              </w:tc>
              <w:tc>
                <w:tcPr>
                  <w:tcW w:w="2500" w:type="dxa"/>
                  <w:tcBorders>
                    <w:top w:val="single" w:color="auto" w:sz="4" w:space="0"/>
                  </w:tcBorders>
                  <w:vAlign w:val="center"/>
                </w:tcPr>
                <w:p>
                  <w:pPr>
                    <w:jc w:val="center"/>
                    <w:rPr>
                      <w:szCs w:val="21"/>
                    </w:rPr>
                  </w:pPr>
                  <w:r>
                    <w:rPr>
                      <w:rFonts w:hAnsi="宋体"/>
                      <w:szCs w:val="21"/>
                    </w:rPr>
                    <w:t>依托原有</w:t>
                  </w:r>
                </w:p>
              </w:tc>
              <w:tc>
                <w:tcPr>
                  <w:tcW w:w="821" w:type="dxa"/>
                  <w:vAlign w:val="center"/>
                </w:tcPr>
                <w:p>
                  <w:pPr>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556" w:type="dxa"/>
                  <w:vAlign w:val="center"/>
                </w:tcPr>
                <w:p>
                  <w:pPr>
                    <w:jc w:val="center"/>
                    <w:rPr>
                      <w:szCs w:val="21"/>
                    </w:rPr>
                  </w:pPr>
                  <w:r>
                    <w:rPr>
                      <w:rFonts w:hAnsi="宋体"/>
                      <w:szCs w:val="21"/>
                    </w:rPr>
                    <w:t>其他</w:t>
                  </w:r>
                </w:p>
              </w:tc>
              <w:tc>
                <w:tcPr>
                  <w:tcW w:w="3583" w:type="dxa"/>
                  <w:gridSpan w:val="2"/>
                  <w:vAlign w:val="center"/>
                </w:tcPr>
                <w:p>
                  <w:pPr>
                    <w:jc w:val="center"/>
                    <w:rPr>
                      <w:szCs w:val="21"/>
                    </w:rPr>
                  </w:pPr>
                  <w:r>
                    <w:rPr>
                      <w:rFonts w:hAnsi="宋体"/>
                      <w:szCs w:val="21"/>
                    </w:rPr>
                    <w:t>排污口规范化设置、委托检测等</w:t>
                  </w:r>
                </w:p>
              </w:tc>
              <w:tc>
                <w:tcPr>
                  <w:tcW w:w="902" w:type="dxa"/>
                  <w:vAlign w:val="center"/>
                </w:tcPr>
                <w:p>
                  <w:pPr>
                    <w:jc w:val="center"/>
                    <w:rPr>
                      <w:szCs w:val="21"/>
                    </w:rPr>
                  </w:pPr>
                  <w:r>
                    <w:rPr>
                      <w:rFonts w:hint="eastAsia"/>
                      <w:szCs w:val="21"/>
                    </w:rPr>
                    <w:t>/</w:t>
                  </w:r>
                </w:p>
              </w:tc>
              <w:tc>
                <w:tcPr>
                  <w:tcW w:w="2500" w:type="dxa"/>
                  <w:tcBorders>
                    <w:top w:val="single" w:color="auto" w:sz="4" w:space="0"/>
                  </w:tcBorders>
                  <w:vAlign w:val="center"/>
                </w:tcPr>
                <w:p>
                  <w:pPr>
                    <w:jc w:val="center"/>
                    <w:rPr>
                      <w:szCs w:val="21"/>
                    </w:rPr>
                  </w:pPr>
                  <w:r>
                    <w:rPr>
                      <w:rFonts w:hAnsi="宋体"/>
                      <w:szCs w:val="21"/>
                    </w:rPr>
                    <w:t>排污口规范化设置</w:t>
                  </w:r>
                </w:p>
              </w:tc>
              <w:tc>
                <w:tcPr>
                  <w:tcW w:w="821" w:type="dxa"/>
                  <w:vAlign w:val="center"/>
                </w:tcPr>
                <w:p>
                  <w:pPr>
                    <w:jc w:val="center"/>
                    <w:rPr>
                      <w:szCs w:val="21"/>
                    </w:rPr>
                  </w:pPr>
                  <w:r>
                    <w:rPr>
                      <w:rFonts w:hint="eastAsia"/>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4139" w:type="dxa"/>
                  <w:gridSpan w:val="3"/>
                  <w:vAlign w:val="center"/>
                </w:tcPr>
                <w:p>
                  <w:pPr>
                    <w:jc w:val="center"/>
                    <w:rPr>
                      <w:szCs w:val="21"/>
                    </w:rPr>
                  </w:pPr>
                  <w:r>
                    <w:rPr>
                      <w:rFonts w:hAnsi="宋体"/>
                      <w:szCs w:val="21"/>
                    </w:rPr>
                    <w:t>环保投资合计</w:t>
                  </w:r>
                </w:p>
              </w:tc>
              <w:tc>
                <w:tcPr>
                  <w:tcW w:w="902" w:type="dxa"/>
                  <w:vAlign w:val="center"/>
                </w:tcPr>
                <w:p>
                  <w:pPr>
                    <w:jc w:val="center"/>
                    <w:rPr>
                      <w:szCs w:val="21"/>
                    </w:rPr>
                  </w:pPr>
                  <w:r>
                    <w:rPr>
                      <w:rFonts w:hint="eastAsia"/>
                      <w:szCs w:val="21"/>
                    </w:rPr>
                    <w:t>48</w:t>
                  </w:r>
                </w:p>
              </w:tc>
              <w:tc>
                <w:tcPr>
                  <w:tcW w:w="2500" w:type="dxa"/>
                  <w:vAlign w:val="center"/>
                </w:tcPr>
                <w:p>
                  <w:pPr>
                    <w:jc w:val="center"/>
                    <w:rPr>
                      <w:szCs w:val="21"/>
                    </w:rPr>
                  </w:pPr>
                  <w:r>
                    <w:rPr>
                      <w:szCs w:val="21"/>
                    </w:rPr>
                    <w:t>/</w:t>
                  </w:r>
                </w:p>
              </w:tc>
              <w:tc>
                <w:tcPr>
                  <w:tcW w:w="821" w:type="dxa"/>
                  <w:vAlign w:val="center"/>
                </w:tcPr>
                <w:p>
                  <w:pPr>
                    <w:jc w:val="center"/>
                    <w:rPr>
                      <w:szCs w:val="21"/>
                    </w:rPr>
                  </w:pPr>
                  <w:r>
                    <w:rPr>
                      <w:rFonts w:hint="eastAsia"/>
                      <w:szCs w:val="21"/>
                    </w:rPr>
                    <w:t>48</w:t>
                  </w:r>
                </w:p>
              </w:tc>
            </w:tr>
          </w:tbl>
          <w:p>
            <w:pPr>
              <w:spacing w:line="360" w:lineRule="auto"/>
              <w:rPr>
                <w:rFonts w:eastAsiaTheme="minorEastAsia"/>
                <w:sz w:val="24"/>
              </w:rPr>
            </w:pPr>
          </w:p>
        </w:tc>
      </w:tr>
    </w:tbl>
    <w:p>
      <w:pPr>
        <w:outlineLvl w:val="0"/>
        <w:rPr>
          <w:sz w:val="24"/>
        </w:rPr>
      </w:pPr>
      <w:r>
        <w:rPr>
          <w:sz w:val="24"/>
        </w:rPr>
        <w:t>表十</w:t>
      </w:r>
    </w:p>
    <w:tbl>
      <w:tblPr>
        <w:tblStyle w:val="1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6" w:hRule="atLeast"/>
        </w:trPr>
        <w:tc>
          <w:tcPr>
            <w:tcW w:w="8516" w:type="dxa"/>
          </w:tcPr>
          <w:p>
            <w:pPr>
              <w:spacing w:line="360" w:lineRule="auto"/>
              <w:ind w:firstLine="482" w:firstLineChars="200"/>
              <w:rPr>
                <w:b/>
                <w:sz w:val="24"/>
              </w:rPr>
            </w:pPr>
            <w:r>
              <w:rPr>
                <w:b/>
                <w:sz w:val="24"/>
              </w:rPr>
              <w:t>验收监测结论</w:t>
            </w:r>
          </w:p>
          <w:p>
            <w:pPr>
              <w:adjustRightInd w:val="0"/>
              <w:snapToGrid w:val="0"/>
              <w:spacing w:line="360" w:lineRule="auto"/>
              <w:ind w:firstLine="480" w:firstLineChars="200"/>
              <w:rPr>
                <w:sz w:val="24"/>
              </w:rPr>
            </w:pPr>
            <w:r>
              <w:rPr>
                <w:sz w:val="24"/>
              </w:rPr>
              <w:t>受丰臣（常州）热处理有限公司的委托，森茂检测科技无锡有限公司于2019年3月20日~2</w:t>
            </w:r>
            <w:r>
              <w:rPr>
                <w:rFonts w:hint="eastAsia"/>
                <w:sz w:val="24"/>
              </w:rPr>
              <w:t>1</w:t>
            </w:r>
            <w:r>
              <w:rPr>
                <w:sz w:val="24"/>
              </w:rPr>
              <w:t>日对丰臣（常州）热处理有限公司新建金属制品热处理加工项目进行了竣工环境保护验收监测，验收监测结果表明：</w:t>
            </w:r>
          </w:p>
          <w:p>
            <w:pPr>
              <w:adjustRightInd w:val="0"/>
              <w:snapToGrid w:val="0"/>
              <w:spacing w:line="360" w:lineRule="auto"/>
              <w:ind w:firstLine="480" w:firstLineChars="200"/>
              <w:rPr>
                <w:sz w:val="24"/>
              </w:rPr>
            </w:pPr>
            <w:r>
              <w:rPr>
                <w:rFonts w:hint="eastAsia"/>
                <w:sz w:val="24"/>
              </w:rPr>
              <w:t>1、</w:t>
            </w:r>
            <w:r>
              <w:rPr>
                <w:sz w:val="24"/>
              </w:rPr>
              <w:t>监测期间，污水总排口中化学需氧量、悬浮物</w:t>
            </w:r>
            <w:r>
              <w:rPr>
                <w:rFonts w:hint="eastAsia"/>
                <w:sz w:val="24"/>
              </w:rPr>
              <w:t>、</w:t>
            </w:r>
            <w:r>
              <w:rPr>
                <w:sz w:val="24"/>
              </w:rPr>
              <w:t>氨氮、总磷、</w:t>
            </w:r>
            <w:r>
              <w:rPr>
                <w:rFonts w:hint="eastAsia"/>
                <w:sz w:val="24"/>
              </w:rPr>
              <w:t>石油类、</w:t>
            </w:r>
            <w:r>
              <w:rPr>
                <w:sz w:val="24"/>
              </w:rPr>
              <w:t>动植物油</w:t>
            </w:r>
            <w:r>
              <w:rPr>
                <w:rFonts w:hint="eastAsia"/>
                <w:sz w:val="24"/>
              </w:rPr>
              <w:t>日均</w:t>
            </w:r>
            <w:r>
              <w:rPr>
                <w:sz w:val="24"/>
              </w:rPr>
              <w:t>排放浓度及pH值《污水排入城镇下水道水质标准》（GB/T31962-2015）表1 B等级标准。</w:t>
            </w:r>
          </w:p>
          <w:p>
            <w:pPr>
              <w:adjustRightInd w:val="0"/>
              <w:snapToGrid w:val="0"/>
              <w:spacing w:line="360" w:lineRule="auto"/>
              <w:ind w:firstLine="480" w:firstLineChars="200"/>
              <w:rPr>
                <w:sz w:val="24"/>
              </w:rPr>
            </w:pPr>
            <w:r>
              <w:rPr>
                <w:rFonts w:hint="eastAsia"/>
                <w:sz w:val="24"/>
              </w:rPr>
              <w:t>2、监测期间，回火、退火工序排气筒及脱脂清洗、淬火工序排气筒</w:t>
            </w:r>
            <w:r>
              <w:rPr>
                <w:sz w:val="24"/>
              </w:rPr>
              <w:t>出口中非甲烷总烃排放浓度及排放速率</w:t>
            </w:r>
            <w:r>
              <w:rPr>
                <w:rFonts w:hint="eastAsia"/>
                <w:sz w:val="24"/>
              </w:rPr>
              <w:t>满足</w:t>
            </w:r>
            <w:r>
              <w:rPr>
                <w:sz w:val="24"/>
              </w:rPr>
              <w:t>《大气污染物综合排放标准》（GB16297-1996）表2二级标准。</w:t>
            </w:r>
          </w:p>
          <w:p>
            <w:pPr>
              <w:adjustRightInd w:val="0"/>
              <w:snapToGrid w:val="0"/>
              <w:spacing w:line="360" w:lineRule="auto"/>
              <w:ind w:firstLine="480" w:firstLineChars="200"/>
              <w:rPr>
                <w:sz w:val="24"/>
              </w:rPr>
            </w:pPr>
            <w:r>
              <w:rPr>
                <w:rFonts w:hint="eastAsia"/>
                <w:sz w:val="24"/>
              </w:rPr>
              <w:t>3、</w:t>
            </w:r>
            <w:r>
              <w:rPr>
                <w:sz w:val="24"/>
              </w:rPr>
              <w:t>监测期间，厂界无组织废气监控点位的非甲烷总烃浓度满足《大气污染物综合排放标准》（GB16297-1996）表2中无组织排放浓度限值要求。</w:t>
            </w:r>
          </w:p>
          <w:p>
            <w:pPr>
              <w:adjustRightInd w:val="0"/>
              <w:snapToGrid w:val="0"/>
              <w:spacing w:line="360" w:lineRule="auto"/>
              <w:ind w:firstLine="480" w:firstLineChars="200"/>
              <w:rPr>
                <w:sz w:val="24"/>
              </w:rPr>
            </w:pPr>
            <w:r>
              <w:rPr>
                <w:rFonts w:hint="eastAsia"/>
                <w:sz w:val="24"/>
              </w:rPr>
              <w:t>4、</w:t>
            </w:r>
            <w:r>
              <w:rPr>
                <w:sz w:val="24"/>
              </w:rPr>
              <w:t>监测期间，项目厂界噪声监测点昼</w:t>
            </w:r>
            <w:r>
              <w:rPr>
                <w:rFonts w:hint="eastAsia"/>
                <w:sz w:val="24"/>
              </w:rPr>
              <w:t>、</w:t>
            </w:r>
            <w:r>
              <w:rPr>
                <w:sz w:val="24"/>
              </w:rPr>
              <w:t>夜间等效声级满足《工业企业厂界环境噪声排放标准》（GB12348-2008）</w:t>
            </w:r>
            <w:r>
              <w:rPr>
                <w:rFonts w:hint="eastAsia"/>
                <w:sz w:val="24"/>
              </w:rPr>
              <w:t>3</w:t>
            </w:r>
            <w:r>
              <w:rPr>
                <w:sz w:val="24"/>
              </w:rPr>
              <w:t>类标准。</w:t>
            </w:r>
          </w:p>
          <w:p>
            <w:pPr>
              <w:adjustRightInd w:val="0"/>
              <w:snapToGrid w:val="0"/>
              <w:spacing w:line="360" w:lineRule="auto"/>
              <w:ind w:firstLine="480" w:firstLineChars="200"/>
              <w:rPr>
                <w:sz w:val="24"/>
              </w:rPr>
            </w:pPr>
            <w:r>
              <w:rPr>
                <w:rFonts w:hint="eastAsia"/>
                <w:sz w:val="24"/>
              </w:rPr>
              <w:t>5、</w:t>
            </w:r>
            <w:r>
              <w:rPr>
                <w:sz w:val="24"/>
              </w:rPr>
              <w:t>监测期间，本项目</w:t>
            </w:r>
            <w:r>
              <w:rPr>
                <w:rFonts w:hint="eastAsia"/>
                <w:sz w:val="24"/>
              </w:rPr>
              <w:t>废热媒体油、废真空泵油委托常州市锦云工业废弃物处理有限公司处置，过滤残渣、蒸馏残渣产生少量暂存于危废仓库，废活性炭暂未产生，企业承诺</w:t>
            </w:r>
            <w:r>
              <w:rPr>
                <w:sz w:val="24"/>
              </w:rPr>
              <w:t>及时签订危险废物处置协议，在找到合适的固废处置单位前于厂区内规范贮存。</w:t>
            </w:r>
          </w:p>
          <w:p>
            <w:pPr>
              <w:adjustRightInd w:val="0"/>
              <w:snapToGrid w:val="0"/>
              <w:spacing w:line="360" w:lineRule="auto"/>
              <w:ind w:firstLine="480" w:firstLineChars="200"/>
              <w:rPr>
                <w:sz w:val="24"/>
              </w:rPr>
            </w:pPr>
            <w:r>
              <w:rPr>
                <w:sz w:val="24"/>
              </w:rPr>
              <w:t>6、本项目废水污染物总量满足环评/批要求。</w:t>
            </w:r>
          </w:p>
          <w:p>
            <w:pPr>
              <w:adjustRightInd w:val="0"/>
              <w:snapToGrid w:val="0"/>
              <w:spacing w:line="360" w:lineRule="auto"/>
              <w:ind w:firstLine="480" w:firstLineChars="200"/>
              <w:jc w:val="left"/>
              <w:rPr>
                <w:sz w:val="24"/>
              </w:rPr>
            </w:pPr>
            <w:r>
              <w:rPr>
                <w:sz w:val="24"/>
              </w:rPr>
              <w:t>7、该项目落实了“三同时”制度，环境管理规章制度较为健全。</w:t>
            </w:r>
          </w:p>
          <w:p>
            <w:pPr>
              <w:spacing w:line="360" w:lineRule="auto"/>
              <w:ind w:firstLine="480" w:firstLineChars="200"/>
              <w:outlineLvl w:val="0"/>
              <w:rPr>
                <w:sz w:val="24"/>
              </w:rPr>
            </w:pPr>
            <w:r>
              <w:rPr>
                <w:sz w:val="24"/>
              </w:rPr>
              <w:t>8、综上所述，该项目执行了有关环保管理规章制度，落实了环评及其批复的要求，配套的环保设施正常运行，各项污染物排放符合标准要求。</w:t>
            </w:r>
          </w:p>
        </w:tc>
      </w:tr>
    </w:tbl>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3032" w:hRule="atLeast"/>
        </w:trPr>
        <w:tc>
          <w:tcPr>
            <w:tcW w:w="8528" w:type="dxa"/>
          </w:tcPr>
          <w:p>
            <w:pPr>
              <w:adjustRightInd w:val="0"/>
              <w:snapToGrid w:val="0"/>
              <w:spacing w:line="360" w:lineRule="auto"/>
              <w:jc w:val="center"/>
              <w:rPr>
                <w:b/>
                <w:sz w:val="32"/>
                <w:szCs w:val="32"/>
              </w:rPr>
            </w:pPr>
            <w:r>
              <w:rPr>
                <w:b/>
                <w:sz w:val="32"/>
                <w:szCs w:val="32"/>
              </w:rPr>
              <w:t>注   释</w:t>
            </w:r>
          </w:p>
          <w:p>
            <w:pPr>
              <w:adjustRightInd w:val="0"/>
              <w:snapToGrid w:val="0"/>
              <w:spacing w:line="360" w:lineRule="auto"/>
              <w:rPr>
                <w:sz w:val="24"/>
              </w:rPr>
            </w:pPr>
            <w:r>
              <w:rPr>
                <w:sz w:val="24"/>
              </w:rPr>
              <w:t>附件1  建设项目工程竣工环境保护”三同时”验收登记表</w:t>
            </w:r>
          </w:p>
          <w:p>
            <w:pPr>
              <w:adjustRightInd w:val="0"/>
              <w:snapToGrid w:val="0"/>
              <w:spacing w:line="360" w:lineRule="auto"/>
              <w:rPr>
                <w:sz w:val="24"/>
              </w:rPr>
            </w:pPr>
            <w:r>
              <w:rPr>
                <w:sz w:val="24"/>
              </w:rPr>
              <w:t>附件2  环评批复</w:t>
            </w:r>
          </w:p>
          <w:p>
            <w:pPr>
              <w:adjustRightInd w:val="0"/>
              <w:snapToGrid w:val="0"/>
              <w:spacing w:line="360" w:lineRule="auto"/>
              <w:rPr>
                <w:sz w:val="24"/>
              </w:rPr>
            </w:pPr>
            <w:r>
              <w:rPr>
                <w:sz w:val="24"/>
              </w:rPr>
              <w:t>附件3  验收监测报告建设单位确认书</w:t>
            </w:r>
          </w:p>
          <w:p>
            <w:pPr>
              <w:adjustRightInd w:val="0"/>
              <w:snapToGrid w:val="0"/>
              <w:spacing w:line="360" w:lineRule="auto"/>
              <w:rPr>
                <w:sz w:val="24"/>
              </w:rPr>
            </w:pPr>
            <w:r>
              <w:rPr>
                <w:sz w:val="24"/>
              </w:rPr>
              <w:t>附件4  工况核实表</w:t>
            </w:r>
          </w:p>
          <w:p>
            <w:pPr>
              <w:adjustRightInd w:val="0"/>
              <w:snapToGrid w:val="0"/>
              <w:spacing w:line="360" w:lineRule="auto"/>
              <w:rPr>
                <w:sz w:val="24"/>
              </w:rPr>
            </w:pPr>
            <w:r>
              <w:rPr>
                <w:sz w:val="24"/>
              </w:rPr>
              <w:t>附件5  企业环保自查报告</w:t>
            </w:r>
          </w:p>
          <w:p>
            <w:pPr>
              <w:adjustRightInd w:val="0"/>
              <w:snapToGrid w:val="0"/>
              <w:spacing w:line="360" w:lineRule="auto"/>
              <w:rPr>
                <w:sz w:val="24"/>
              </w:rPr>
            </w:pPr>
            <w:r>
              <w:rPr>
                <w:sz w:val="24"/>
              </w:rPr>
              <w:t>附件6  危废处置协议</w:t>
            </w:r>
          </w:p>
          <w:p>
            <w:pPr>
              <w:adjustRightInd w:val="0"/>
              <w:snapToGrid w:val="0"/>
              <w:spacing w:line="360" w:lineRule="auto"/>
              <w:rPr>
                <w:sz w:val="24"/>
              </w:rPr>
            </w:pPr>
            <w:r>
              <w:rPr>
                <w:sz w:val="24"/>
              </w:rPr>
              <w:t>附件7  危废</w:t>
            </w:r>
            <w:r>
              <w:rPr>
                <w:rFonts w:hint="eastAsia"/>
                <w:sz w:val="24"/>
              </w:rPr>
              <w:t>处置</w:t>
            </w:r>
            <w:r>
              <w:rPr>
                <w:sz w:val="24"/>
              </w:rPr>
              <w:t>承诺书</w:t>
            </w:r>
          </w:p>
          <w:p>
            <w:pPr>
              <w:adjustRightInd w:val="0"/>
              <w:snapToGrid w:val="0"/>
              <w:spacing w:line="360" w:lineRule="auto"/>
              <w:rPr>
                <w:sz w:val="24"/>
              </w:rPr>
            </w:pPr>
            <w:r>
              <w:rPr>
                <w:sz w:val="24"/>
              </w:rPr>
              <w:t>附件8  污水处理合同</w:t>
            </w:r>
          </w:p>
          <w:p>
            <w:pPr>
              <w:adjustRightInd w:val="0"/>
              <w:snapToGrid w:val="0"/>
              <w:spacing w:line="360" w:lineRule="auto"/>
              <w:rPr>
                <w:sz w:val="24"/>
              </w:rPr>
            </w:pPr>
            <w:r>
              <w:rPr>
                <w:rFonts w:hint="eastAsia"/>
                <w:sz w:val="24"/>
              </w:rPr>
              <w:t>附件9  水费收据</w:t>
            </w:r>
          </w:p>
          <w:p>
            <w:pPr>
              <w:adjustRightInd w:val="0"/>
              <w:snapToGrid w:val="0"/>
              <w:spacing w:line="360" w:lineRule="auto"/>
              <w:rPr>
                <w:rFonts w:hint="eastAsia"/>
                <w:sz w:val="24"/>
              </w:rPr>
            </w:pPr>
            <w:r>
              <w:rPr>
                <w:rFonts w:hint="eastAsia"/>
                <w:sz w:val="24"/>
              </w:rPr>
              <w:t>附件10  清洗液MSDS</w:t>
            </w:r>
          </w:p>
          <w:p>
            <w:pPr>
              <w:adjustRightInd w:val="0"/>
              <w:snapToGrid w:val="0"/>
              <w:spacing w:line="360" w:lineRule="auto"/>
              <w:rPr>
                <w:sz w:val="24"/>
              </w:rPr>
            </w:pPr>
            <w:r>
              <w:rPr>
                <w:rFonts w:hint="eastAsia"/>
                <w:sz w:val="24"/>
              </w:rPr>
              <w:t xml:space="preserve">附件11  </w:t>
            </w:r>
            <w:r>
              <w:rPr>
                <w:sz w:val="24"/>
              </w:rPr>
              <w:t>关于丰臣（常州）热处理有限公司新建金属制品热处理加工项目的情况说明</w:t>
            </w:r>
          </w:p>
          <w:p>
            <w:pPr>
              <w:adjustRightInd w:val="0"/>
              <w:snapToGrid w:val="0"/>
              <w:spacing w:line="360" w:lineRule="auto"/>
              <w:rPr>
                <w:sz w:val="24"/>
              </w:rPr>
            </w:pPr>
            <w:r>
              <w:rPr>
                <w:sz w:val="24"/>
              </w:rPr>
              <w:t>附件</w:t>
            </w:r>
            <w:r>
              <w:rPr>
                <w:rFonts w:hint="eastAsia"/>
                <w:sz w:val="24"/>
              </w:rPr>
              <w:t>12</w:t>
            </w:r>
            <w:r>
              <w:rPr>
                <w:sz w:val="24"/>
              </w:rPr>
              <w:t xml:space="preserve">  检测报告</w:t>
            </w:r>
          </w:p>
          <w:p>
            <w:pPr>
              <w:adjustRightInd w:val="0"/>
              <w:snapToGrid w:val="0"/>
              <w:spacing w:line="360" w:lineRule="auto"/>
              <w:rPr>
                <w:sz w:val="24"/>
              </w:rPr>
            </w:pPr>
            <w:r>
              <w:rPr>
                <w:sz w:val="24"/>
              </w:rPr>
              <w:t>附件1</w:t>
            </w:r>
            <w:r>
              <w:rPr>
                <w:rFonts w:hint="eastAsia"/>
                <w:sz w:val="24"/>
              </w:rPr>
              <w:t>3</w:t>
            </w:r>
            <w:r>
              <w:rPr>
                <w:sz w:val="24"/>
              </w:rPr>
              <w:t xml:space="preserve">  雨</w:t>
            </w:r>
            <w:r>
              <w:rPr>
                <w:rFonts w:hint="eastAsia"/>
                <w:sz w:val="24"/>
              </w:rPr>
              <w:t>、</w:t>
            </w:r>
            <w:r>
              <w:rPr>
                <w:sz w:val="24"/>
              </w:rPr>
              <w:t>污水、废气排口及危废堆场标识牌照片</w:t>
            </w:r>
          </w:p>
          <w:p>
            <w:pPr>
              <w:adjustRightInd w:val="0"/>
              <w:snapToGrid w:val="0"/>
              <w:spacing w:line="360" w:lineRule="auto"/>
              <w:rPr>
                <w:sz w:val="24"/>
              </w:rPr>
            </w:pPr>
          </w:p>
          <w:p>
            <w:pPr>
              <w:adjustRightInd w:val="0"/>
              <w:snapToGrid w:val="0"/>
              <w:spacing w:line="360" w:lineRule="auto"/>
              <w:rPr>
                <w:sz w:val="24"/>
              </w:rPr>
            </w:pPr>
            <w:r>
              <w:rPr>
                <w:sz w:val="24"/>
              </w:rPr>
              <w:t>附图1  项目地理位置图</w:t>
            </w:r>
          </w:p>
          <w:p>
            <w:pPr>
              <w:adjustRightInd w:val="0"/>
              <w:snapToGrid w:val="0"/>
              <w:spacing w:line="360" w:lineRule="auto"/>
              <w:rPr>
                <w:sz w:val="24"/>
              </w:rPr>
            </w:pPr>
            <w:r>
              <w:rPr>
                <w:sz w:val="24"/>
              </w:rPr>
              <w:t>附图2  项目周边情况图</w:t>
            </w:r>
          </w:p>
          <w:p>
            <w:pPr>
              <w:adjustRightInd w:val="0"/>
              <w:snapToGrid w:val="0"/>
              <w:spacing w:line="360" w:lineRule="auto"/>
              <w:rPr>
                <w:sz w:val="24"/>
              </w:rPr>
            </w:pPr>
            <w:r>
              <w:rPr>
                <w:sz w:val="24"/>
              </w:rPr>
              <w:t>附图3  项目平面布置图</w:t>
            </w:r>
          </w:p>
        </w:tc>
      </w:tr>
    </w:tbl>
    <w:p>
      <w:pPr>
        <w:spacing w:line="360" w:lineRule="auto"/>
      </w:pPr>
    </w:p>
    <w:sectPr>
      <w:pgSz w:w="11906" w:h="16838"/>
      <w:pgMar w:top="1276" w:right="1803" w:bottom="1276" w:left="1803"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21"/>
      </w:rPr>
    </w:pPr>
    <w:r>
      <w:fldChar w:fldCharType="begin"/>
    </w:r>
    <w:r>
      <w:rPr>
        <w:rStyle w:val="21"/>
      </w:rPr>
      <w:instrText xml:space="preserve">PAGE  </w:instrText>
    </w:r>
    <w:r>
      <w:fldChar w:fldCharType="separate"/>
    </w:r>
    <w:r>
      <w:rPr>
        <w:rStyle w:val="21"/>
      </w:rPr>
      <w:t>7</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rPr>
        <w:rStyle w:val="21"/>
      </w:rPr>
      <w:instrText xml:space="preserve"> PAGE </w:instrText>
    </w:r>
    <w:r>
      <w:fldChar w:fldCharType="separate"/>
    </w:r>
    <w:r>
      <w:rPr>
        <w:rStyle w:val="21"/>
      </w:rPr>
      <w:t>- 1 -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71008"/>
    </w:sdtPr>
    <w:sdtContent>
      <w:p>
        <w:pPr>
          <w:pStyle w:val="10"/>
          <w:jc w:val="center"/>
        </w:pPr>
        <w:r>
          <w:fldChar w:fldCharType="begin"/>
        </w:r>
        <w:r>
          <w:instrText xml:space="preserve"> PAGE   \* MERGEFORMAT </w:instrText>
        </w:r>
        <w:r>
          <w:fldChar w:fldCharType="separate"/>
        </w:r>
        <w:r>
          <w:rPr>
            <w:lang w:val="zh-CN"/>
          </w:rPr>
          <w:t>38</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1549FE"/>
    <w:multiLevelType w:val="singleLevel"/>
    <w:tmpl w:val="CC1549FE"/>
    <w:lvl w:ilvl="0" w:tentative="0">
      <w:start w:val="2"/>
      <w:numFmt w:val="decimal"/>
      <w:suff w:val="nothing"/>
      <w:lvlText w:val="%1、"/>
      <w:lvlJc w:val="left"/>
    </w:lvl>
  </w:abstractNum>
  <w:abstractNum w:abstractNumId="1">
    <w:nsid w:val="D000C17B"/>
    <w:multiLevelType w:val="singleLevel"/>
    <w:tmpl w:val="D000C17B"/>
    <w:lvl w:ilvl="0" w:tentative="0">
      <w:start w:val="1"/>
      <w:numFmt w:val="decimal"/>
      <w:suff w:val="nothing"/>
      <w:lvlText w:val="%1、"/>
      <w:lvlJc w:val="left"/>
    </w:lvl>
  </w:abstractNum>
  <w:abstractNum w:abstractNumId="2">
    <w:nsid w:val="03C71E17"/>
    <w:multiLevelType w:val="multilevel"/>
    <w:tmpl w:val="03C71E17"/>
    <w:lvl w:ilvl="0" w:tentative="0">
      <w:start w:val="4"/>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BBC39B9"/>
    <w:multiLevelType w:val="multilevel"/>
    <w:tmpl w:val="1BBC39B9"/>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20C2BE2"/>
    <w:multiLevelType w:val="multilevel"/>
    <w:tmpl w:val="320C2BE2"/>
    <w:lvl w:ilvl="0" w:tentative="0">
      <w:start w:val="1"/>
      <w:numFmt w:val="decimal"/>
      <w:lvlText w:val="%1、"/>
      <w:lvlJc w:val="left"/>
      <w:pPr>
        <w:ind w:left="843" w:hanging="363"/>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65F2463A"/>
    <w:multiLevelType w:val="multilevel"/>
    <w:tmpl w:val="65F2463A"/>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336935D"/>
    <w:multiLevelType w:val="singleLevel"/>
    <w:tmpl w:val="7336935D"/>
    <w:lvl w:ilvl="0" w:tentative="0">
      <w:start w:val="1"/>
      <w:numFmt w:val="decimal"/>
      <w:suff w:val="nothing"/>
      <w:lvlText w:val="%1、"/>
      <w:lvlJc w:val="left"/>
    </w:lvl>
  </w:abstractNum>
  <w:num w:numId="1">
    <w:abstractNumId w:val="0"/>
  </w:num>
  <w:num w:numId="2">
    <w:abstractNumId w:val="4"/>
  </w:num>
  <w:num w:numId="3">
    <w:abstractNumId w:val="5"/>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F2A4E"/>
    <w:rsid w:val="0000067D"/>
    <w:rsid w:val="00000B08"/>
    <w:rsid w:val="00002809"/>
    <w:rsid w:val="00002844"/>
    <w:rsid w:val="00002E88"/>
    <w:rsid w:val="00003FF8"/>
    <w:rsid w:val="00004733"/>
    <w:rsid w:val="00004BBA"/>
    <w:rsid w:val="00006A60"/>
    <w:rsid w:val="0000771D"/>
    <w:rsid w:val="00012622"/>
    <w:rsid w:val="0001274C"/>
    <w:rsid w:val="00012944"/>
    <w:rsid w:val="00012F28"/>
    <w:rsid w:val="000146F4"/>
    <w:rsid w:val="00015A8F"/>
    <w:rsid w:val="000176ED"/>
    <w:rsid w:val="0002042F"/>
    <w:rsid w:val="00020E18"/>
    <w:rsid w:val="000234F2"/>
    <w:rsid w:val="00025436"/>
    <w:rsid w:val="00025AAC"/>
    <w:rsid w:val="00025F49"/>
    <w:rsid w:val="0002625A"/>
    <w:rsid w:val="000267C3"/>
    <w:rsid w:val="0002694D"/>
    <w:rsid w:val="00027244"/>
    <w:rsid w:val="00027771"/>
    <w:rsid w:val="000300C9"/>
    <w:rsid w:val="000322C4"/>
    <w:rsid w:val="000324B5"/>
    <w:rsid w:val="000328DD"/>
    <w:rsid w:val="0003293D"/>
    <w:rsid w:val="00032D83"/>
    <w:rsid w:val="00033C0F"/>
    <w:rsid w:val="000341E7"/>
    <w:rsid w:val="00034B55"/>
    <w:rsid w:val="00036581"/>
    <w:rsid w:val="00041D1F"/>
    <w:rsid w:val="00042AA1"/>
    <w:rsid w:val="00042BCB"/>
    <w:rsid w:val="00042D3A"/>
    <w:rsid w:val="00043342"/>
    <w:rsid w:val="00044E4E"/>
    <w:rsid w:val="00045439"/>
    <w:rsid w:val="00046001"/>
    <w:rsid w:val="0005013D"/>
    <w:rsid w:val="000503D8"/>
    <w:rsid w:val="00050BCB"/>
    <w:rsid w:val="0005154F"/>
    <w:rsid w:val="00051D2E"/>
    <w:rsid w:val="00051E51"/>
    <w:rsid w:val="000556BF"/>
    <w:rsid w:val="000563FB"/>
    <w:rsid w:val="000572F2"/>
    <w:rsid w:val="00061310"/>
    <w:rsid w:val="00061659"/>
    <w:rsid w:val="000619C4"/>
    <w:rsid w:val="00062C05"/>
    <w:rsid w:val="000635E6"/>
    <w:rsid w:val="00063B86"/>
    <w:rsid w:val="00064A27"/>
    <w:rsid w:val="0006578C"/>
    <w:rsid w:val="00065A77"/>
    <w:rsid w:val="00066676"/>
    <w:rsid w:val="00067FDE"/>
    <w:rsid w:val="00071DC8"/>
    <w:rsid w:val="000721F7"/>
    <w:rsid w:val="00073450"/>
    <w:rsid w:val="000739BC"/>
    <w:rsid w:val="0007462E"/>
    <w:rsid w:val="00074E1A"/>
    <w:rsid w:val="00075E5D"/>
    <w:rsid w:val="000763C3"/>
    <w:rsid w:val="00076D9E"/>
    <w:rsid w:val="00076E15"/>
    <w:rsid w:val="00080839"/>
    <w:rsid w:val="000809D6"/>
    <w:rsid w:val="00082F77"/>
    <w:rsid w:val="00084F5A"/>
    <w:rsid w:val="000863D1"/>
    <w:rsid w:val="00086DCA"/>
    <w:rsid w:val="00087BDC"/>
    <w:rsid w:val="00087EC6"/>
    <w:rsid w:val="00090039"/>
    <w:rsid w:val="00090E3E"/>
    <w:rsid w:val="000921E0"/>
    <w:rsid w:val="0009255E"/>
    <w:rsid w:val="00092DA5"/>
    <w:rsid w:val="00093036"/>
    <w:rsid w:val="000933BD"/>
    <w:rsid w:val="00094894"/>
    <w:rsid w:val="00094D7C"/>
    <w:rsid w:val="00095400"/>
    <w:rsid w:val="00095996"/>
    <w:rsid w:val="000A045A"/>
    <w:rsid w:val="000A1777"/>
    <w:rsid w:val="000A3C02"/>
    <w:rsid w:val="000A3C33"/>
    <w:rsid w:val="000A3D7D"/>
    <w:rsid w:val="000A60EE"/>
    <w:rsid w:val="000A61DF"/>
    <w:rsid w:val="000A6436"/>
    <w:rsid w:val="000A6CF1"/>
    <w:rsid w:val="000B01FE"/>
    <w:rsid w:val="000B057C"/>
    <w:rsid w:val="000B07DD"/>
    <w:rsid w:val="000B2699"/>
    <w:rsid w:val="000B53FC"/>
    <w:rsid w:val="000B7ACF"/>
    <w:rsid w:val="000C1035"/>
    <w:rsid w:val="000C4F21"/>
    <w:rsid w:val="000C5296"/>
    <w:rsid w:val="000C54BB"/>
    <w:rsid w:val="000C6504"/>
    <w:rsid w:val="000C6ADC"/>
    <w:rsid w:val="000C6BA0"/>
    <w:rsid w:val="000C6F35"/>
    <w:rsid w:val="000C76B9"/>
    <w:rsid w:val="000C79E4"/>
    <w:rsid w:val="000D10A4"/>
    <w:rsid w:val="000D1B75"/>
    <w:rsid w:val="000D2840"/>
    <w:rsid w:val="000D4CBD"/>
    <w:rsid w:val="000D54A8"/>
    <w:rsid w:val="000D6AAA"/>
    <w:rsid w:val="000D6DF3"/>
    <w:rsid w:val="000D7F3F"/>
    <w:rsid w:val="000E1FFD"/>
    <w:rsid w:val="000E2222"/>
    <w:rsid w:val="000E41FC"/>
    <w:rsid w:val="000E4A6A"/>
    <w:rsid w:val="000E54CD"/>
    <w:rsid w:val="000E563C"/>
    <w:rsid w:val="000E7062"/>
    <w:rsid w:val="000F00B7"/>
    <w:rsid w:val="000F07FE"/>
    <w:rsid w:val="000F0EDB"/>
    <w:rsid w:val="000F1456"/>
    <w:rsid w:val="000F1B08"/>
    <w:rsid w:val="000F1EFD"/>
    <w:rsid w:val="000F4ECF"/>
    <w:rsid w:val="000F59AC"/>
    <w:rsid w:val="000F6BB5"/>
    <w:rsid w:val="000F6F3D"/>
    <w:rsid w:val="000F7163"/>
    <w:rsid w:val="000F71BA"/>
    <w:rsid w:val="000F73C2"/>
    <w:rsid w:val="000F7776"/>
    <w:rsid w:val="000F79A2"/>
    <w:rsid w:val="000F7BBB"/>
    <w:rsid w:val="00101242"/>
    <w:rsid w:val="00101350"/>
    <w:rsid w:val="00102400"/>
    <w:rsid w:val="00104E55"/>
    <w:rsid w:val="00105B78"/>
    <w:rsid w:val="0010648C"/>
    <w:rsid w:val="0011152A"/>
    <w:rsid w:val="00111F0E"/>
    <w:rsid w:val="00111FB2"/>
    <w:rsid w:val="001121A2"/>
    <w:rsid w:val="00112DC0"/>
    <w:rsid w:val="00113BF0"/>
    <w:rsid w:val="0011713D"/>
    <w:rsid w:val="00120A8F"/>
    <w:rsid w:val="00121112"/>
    <w:rsid w:val="00121144"/>
    <w:rsid w:val="00122049"/>
    <w:rsid w:val="001222E3"/>
    <w:rsid w:val="0012390D"/>
    <w:rsid w:val="00124B77"/>
    <w:rsid w:val="0012508F"/>
    <w:rsid w:val="001250D5"/>
    <w:rsid w:val="001263C8"/>
    <w:rsid w:val="00126DAF"/>
    <w:rsid w:val="00127339"/>
    <w:rsid w:val="001278B1"/>
    <w:rsid w:val="001308CB"/>
    <w:rsid w:val="00131915"/>
    <w:rsid w:val="00132E71"/>
    <w:rsid w:val="00132ED0"/>
    <w:rsid w:val="001332CD"/>
    <w:rsid w:val="00134C93"/>
    <w:rsid w:val="001355C8"/>
    <w:rsid w:val="00135890"/>
    <w:rsid w:val="001418B0"/>
    <w:rsid w:val="00141F78"/>
    <w:rsid w:val="00143846"/>
    <w:rsid w:val="00143F04"/>
    <w:rsid w:val="00145505"/>
    <w:rsid w:val="00145DE0"/>
    <w:rsid w:val="00146505"/>
    <w:rsid w:val="0014762A"/>
    <w:rsid w:val="0014766A"/>
    <w:rsid w:val="00147A29"/>
    <w:rsid w:val="00147C33"/>
    <w:rsid w:val="00147E88"/>
    <w:rsid w:val="001509AD"/>
    <w:rsid w:val="00151FDB"/>
    <w:rsid w:val="00152674"/>
    <w:rsid w:val="001553C4"/>
    <w:rsid w:val="00156C10"/>
    <w:rsid w:val="001628C2"/>
    <w:rsid w:val="00162E4B"/>
    <w:rsid w:val="001634E6"/>
    <w:rsid w:val="00164358"/>
    <w:rsid w:val="00164D81"/>
    <w:rsid w:val="00166530"/>
    <w:rsid w:val="00166BAB"/>
    <w:rsid w:val="0016736F"/>
    <w:rsid w:val="00170451"/>
    <w:rsid w:val="001706CC"/>
    <w:rsid w:val="00172501"/>
    <w:rsid w:val="001731CE"/>
    <w:rsid w:val="001763EC"/>
    <w:rsid w:val="00177B8F"/>
    <w:rsid w:val="001803C0"/>
    <w:rsid w:val="00181777"/>
    <w:rsid w:val="00181785"/>
    <w:rsid w:val="00181D78"/>
    <w:rsid w:val="0018206E"/>
    <w:rsid w:val="001826FA"/>
    <w:rsid w:val="00183697"/>
    <w:rsid w:val="00184312"/>
    <w:rsid w:val="001845AC"/>
    <w:rsid w:val="0018479C"/>
    <w:rsid w:val="00186861"/>
    <w:rsid w:val="00191A61"/>
    <w:rsid w:val="001924B5"/>
    <w:rsid w:val="00193CA5"/>
    <w:rsid w:val="001944A9"/>
    <w:rsid w:val="0019489C"/>
    <w:rsid w:val="00196C5A"/>
    <w:rsid w:val="001A19CB"/>
    <w:rsid w:val="001A1E3D"/>
    <w:rsid w:val="001A1F75"/>
    <w:rsid w:val="001A41EB"/>
    <w:rsid w:val="001A4B20"/>
    <w:rsid w:val="001A7A7A"/>
    <w:rsid w:val="001B0008"/>
    <w:rsid w:val="001B00F3"/>
    <w:rsid w:val="001B0259"/>
    <w:rsid w:val="001B233B"/>
    <w:rsid w:val="001B3186"/>
    <w:rsid w:val="001B397C"/>
    <w:rsid w:val="001B5006"/>
    <w:rsid w:val="001B5676"/>
    <w:rsid w:val="001B77F8"/>
    <w:rsid w:val="001B78DF"/>
    <w:rsid w:val="001C170A"/>
    <w:rsid w:val="001C17A1"/>
    <w:rsid w:val="001C202A"/>
    <w:rsid w:val="001C242E"/>
    <w:rsid w:val="001C26C7"/>
    <w:rsid w:val="001C2EF2"/>
    <w:rsid w:val="001C43F5"/>
    <w:rsid w:val="001C5FBE"/>
    <w:rsid w:val="001C65CA"/>
    <w:rsid w:val="001C68A0"/>
    <w:rsid w:val="001C6EB6"/>
    <w:rsid w:val="001C74A0"/>
    <w:rsid w:val="001C7764"/>
    <w:rsid w:val="001C77E4"/>
    <w:rsid w:val="001C7F5E"/>
    <w:rsid w:val="001D00CA"/>
    <w:rsid w:val="001D0524"/>
    <w:rsid w:val="001D0ACA"/>
    <w:rsid w:val="001D16C6"/>
    <w:rsid w:val="001D1850"/>
    <w:rsid w:val="001D194A"/>
    <w:rsid w:val="001D1EF9"/>
    <w:rsid w:val="001D4168"/>
    <w:rsid w:val="001D4CF8"/>
    <w:rsid w:val="001D54A6"/>
    <w:rsid w:val="001D6732"/>
    <w:rsid w:val="001D6908"/>
    <w:rsid w:val="001D6FAB"/>
    <w:rsid w:val="001E0BF0"/>
    <w:rsid w:val="001E1CE5"/>
    <w:rsid w:val="001E1D35"/>
    <w:rsid w:val="001E2CC6"/>
    <w:rsid w:val="001E39EF"/>
    <w:rsid w:val="001E3B07"/>
    <w:rsid w:val="001E453F"/>
    <w:rsid w:val="001E5F33"/>
    <w:rsid w:val="001F0417"/>
    <w:rsid w:val="001F048B"/>
    <w:rsid w:val="001F2AEA"/>
    <w:rsid w:val="001F3697"/>
    <w:rsid w:val="001F4DE2"/>
    <w:rsid w:val="001F595E"/>
    <w:rsid w:val="001F6B8D"/>
    <w:rsid w:val="001F7EBE"/>
    <w:rsid w:val="00201A2B"/>
    <w:rsid w:val="00201C0A"/>
    <w:rsid w:val="00201CEF"/>
    <w:rsid w:val="00201DAF"/>
    <w:rsid w:val="00201FED"/>
    <w:rsid w:val="00202947"/>
    <w:rsid w:val="00204EBE"/>
    <w:rsid w:val="00205109"/>
    <w:rsid w:val="002061B4"/>
    <w:rsid w:val="0020735E"/>
    <w:rsid w:val="00210BA7"/>
    <w:rsid w:val="00210D11"/>
    <w:rsid w:val="00211E31"/>
    <w:rsid w:val="00212C0E"/>
    <w:rsid w:val="002139F0"/>
    <w:rsid w:val="00213A70"/>
    <w:rsid w:val="00213BA1"/>
    <w:rsid w:val="00213E05"/>
    <w:rsid w:val="00214101"/>
    <w:rsid w:val="00214E55"/>
    <w:rsid w:val="00216200"/>
    <w:rsid w:val="00216277"/>
    <w:rsid w:val="00217AD8"/>
    <w:rsid w:val="002229A6"/>
    <w:rsid w:val="00222B6F"/>
    <w:rsid w:val="0022501B"/>
    <w:rsid w:val="0022547F"/>
    <w:rsid w:val="00225873"/>
    <w:rsid w:val="00227448"/>
    <w:rsid w:val="00227783"/>
    <w:rsid w:val="0023026F"/>
    <w:rsid w:val="00230A4B"/>
    <w:rsid w:val="00231D03"/>
    <w:rsid w:val="00231E87"/>
    <w:rsid w:val="00232CDE"/>
    <w:rsid w:val="0023416A"/>
    <w:rsid w:val="0023442B"/>
    <w:rsid w:val="0023539F"/>
    <w:rsid w:val="002363E8"/>
    <w:rsid w:val="00236550"/>
    <w:rsid w:val="002414C7"/>
    <w:rsid w:val="002427F8"/>
    <w:rsid w:val="00242F37"/>
    <w:rsid w:val="00244059"/>
    <w:rsid w:val="00244088"/>
    <w:rsid w:val="00244668"/>
    <w:rsid w:val="00244CD1"/>
    <w:rsid w:val="00246E0F"/>
    <w:rsid w:val="002476A7"/>
    <w:rsid w:val="00250450"/>
    <w:rsid w:val="0025089A"/>
    <w:rsid w:val="00250C0A"/>
    <w:rsid w:val="00250D86"/>
    <w:rsid w:val="00251831"/>
    <w:rsid w:val="00251F71"/>
    <w:rsid w:val="00252AF6"/>
    <w:rsid w:val="00252C6E"/>
    <w:rsid w:val="00254252"/>
    <w:rsid w:val="00254E9F"/>
    <w:rsid w:val="002552DC"/>
    <w:rsid w:val="002554BF"/>
    <w:rsid w:val="00255E34"/>
    <w:rsid w:val="002564E4"/>
    <w:rsid w:val="00256B09"/>
    <w:rsid w:val="00256CA7"/>
    <w:rsid w:val="00257CBB"/>
    <w:rsid w:val="002609F0"/>
    <w:rsid w:val="00261FFA"/>
    <w:rsid w:val="002629B2"/>
    <w:rsid w:val="00262C1C"/>
    <w:rsid w:val="00263669"/>
    <w:rsid w:val="00264063"/>
    <w:rsid w:val="00265D42"/>
    <w:rsid w:val="00272891"/>
    <w:rsid w:val="00274564"/>
    <w:rsid w:val="00274D6D"/>
    <w:rsid w:val="00274EDA"/>
    <w:rsid w:val="00275169"/>
    <w:rsid w:val="002768E9"/>
    <w:rsid w:val="0027717F"/>
    <w:rsid w:val="0027769C"/>
    <w:rsid w:val="00277B93"/>
    <w:rsid w:val="00277BE2"/>
    <w:rsid w:val="00277BF1"/>
    <w:rsid w:val="00277CE6"/>
    <w:rsid w:val="00277E4D"/>
    <w:rsid w:val="002804F3"/>
    <w:rsid w:val="00281811"/>
    <w:rsid w:val="0028182D"/>
    <w:rsid w:val="0028393E"/>
    <w:rsid w:val="00286E52"/>
    <w:rsid w:val="002910E2"/>
    <w:rsid w:val="00291A78"/>
    <w:rsid w:val="002921E4"/>
    <w:rsid w:val="00292ABD"/>
    <w:rsid w:val="00293CC8"/>
    <w:rsid w:val="00295696"/>
    <w:rsid w:val="00296DAC"/>
    <w:rsid w:val="00297F2F"/>
    <w:rsid w:val="002A07FF"/>
    <w:rsid w:val="002A191E"/>
    <w:rsid w:val="002A1CDD"/>
    <w:rsid w:val="002A25B5"/>
    <w:rsid w:val="002A3AAE"/>
    <w:rsid w:val="002A3DDF"/>
    <w:rsid w:val="002A4056"/>
    <w:rsid w:val="002A45C9"/>
    <w:rsid w:val="002A462D"/>
    <w:rsid w:val="002A49C0"/>
    <w:rsid w:val="002A4A40"/>
    <w:rsid w:val="002A542F"/>
    <w:rsid w:val="002A5FD8"/>
    <w:rsid w:val="002A72BA"/>
    <w:rsid w:val="002B032C"/>
    <w:rsid w:val="002B04CB"/>
    <w:rsid w:val="002B0AF7"/>
    <w:rsid w:val="002B162B"/>
    <w:rsid w:val="002B16D2"/>
    <w:rsid w:val="002B1E28"/>
    <w:rsid w:val="002B3386"/>
    <w:rsid w:val="002B3639"/>
    <w:rsid w:val="002B460F"/>
    <w:rsid w:val="002B69A3"/>
    <w:rsid w:val="002B7424"/>
    <w:rsid w:val="002B7B3B"/>
    <w:rsid w:val="002C0E51"/>
    <w:rsid w:val="002C221D"/>
    <w:rsid w:val="002C2774"/>
    <w:rsid w:val="002C28B0"/>
    <w:rsid w:val="002C2B22"/>
    <w:rsid w:val="002C422A"/>
    <w:rsid w:val="002C65BA"/>
    <w:rsid w:val="002C752B"/>
    <w:rsid w:val="002D6C76"/>
    <w:rsid w:val="002D6FBF"/>
    <w:rsid w:val="002D7ECF"/>
    <w:rsid w:val="002E03DE"/>
    <w:rsid w:val="002E0C54"/>
    <w:rsid w:val="002E0EA5"/>
    <w:rsid w:val="002E1958"/>
    <w:rsid w:val="002E2214"/>
    <w:rsid w:val="002E25FE"/>
    <w:rsid w:val="002E2DAF"/>
    <w:rsid w:val="002E3412"/>
    <w:rsid w:val="002E4ECD"/>
    <w:rsid w:val="002E56B9"/>
    <w:rsid w:val="002E5D3A"/>
    <w:rsid w:val="002E6793"/>
    <w:rsid w:val="002E7147"/>
    <w:rsid w:val="002E7318"/>
    <w:rsid w:val="002E7C54"/>
    <w:rsid w:val="002E7E28"/>
    <w:rsid w:val="002F1BC7"/>
    <w:rsid w:val="002F298D"/>
    <w:rsid w:val="002F318E"/>
    <w:rsid w:val="002F393B"/>
    <w:rsid w:val="002F4493"/>
    <w:rsid w:val="002F48FA"/>
    <w:rsid w:val="002F4A03"/>
    <w:rsid w:val="002F4CCA"/>
    <w:rsid w:val="002F4CD3"/>
    <w:rsid w:val="002F4D26"/>
    <w:rsid w:val="002F5376"/>
    <w:rsid w:val="002F5918"/>
    <w:rsid w:val="002F7A2C"/>
    <w:rsid w:val="003001C1"/>
    <w:rsid w:val="00300447"/>
    <w:rsid w:val="00300491"/>
    <w:rsid w:val="00301BD7"/>
    <w:rsid w:val="003030E3"/>
    <w:rsid w:val="00304FDB"/>
    <w:rsid w:val="00305582"/>
    <w:rsid w:val="00305A12"/>
    <w:rsid w:val="00307A7C"/>
    <w:rsid w:val="00310E2C"/>
    <w:rsid w:val="003119C8"/>
    <w:rsid w:val="00311E78"/>
    <w:rsid w:val="00312101"/>
    <w:rsid w:val="003127EF"/>
    <w:rsid w:val="0031317B"/>
    <w:rsid w:val="003139FE"/>
    <w:rsid w:val="00313D1E"/>
    <w:rsid w:val="00315CB4"/>
    <w:rsid w:val="003161AC"/>
    <w:rsid w:val="00317062"/>
    <w:rsid w:val="00320AC1"/>
    <w:rsid w:val="00320B71"/>
    <w:rsid w:val="003235BE"/>
    <w:rsid w:val="003236DE"/>
    <w:rsid w:val="0032390C"/>
    <w:rsid w:val="00323A08"/>
    <w:rsid w:val="00323ACE"/>
    <w:rsid w:val="0032495D"/>
    <w:rsid w:val="0032499E"/>
    <w:rsid w:val="00324BAB"/>
    <w:rsid w:val="00324D7F"/>
    <w:rsid w:val="0032508D"/>
    <w:rsid w:val="00325DD2"/>
    <w:rsid w:val="00325F7B"/>
    <w:rsid w:val="003265D0"/>
    <w:rsid w:val="00326FF9"/>
    <w:rsid w:val="00327A61"/>
    <w:rsid w:val="00330D2B"/>
    <w:rsid w:val="00331C46"/>
    <w:rsid w:val="00334573"/>
    <w:rsid w:val="0033503A"/>
    <w:rsid w:val="0033582A"/>
    <w:rsid w:val="00336AFA"/>
    <w:rsid w:val="00337382"/>
    <w:rsid w:val="00337B5F"/>
    <w:rsid w:val="00337CC6"/>
    <w:rsid w:val="00340274"/>
    <w:rsid w:val="00341CEA"/>
    <w:rsid w:val="003428A5"/>
    <w:rsid w:val="003430B8"/>
    <w:rsid w:val="003445C7"/>
    <w:rsid w:val="00344D5A"/>
    <w:rsid w:val="0034562C"/>
    <w:rsid w:val="00345FCC"/>
    <w:rsid w:val="003466BE"/>
    <w:rsid w:val="003475F5"/>
    <w:rsid w:val="00347C96"/>
    <w:rsid w:val="00347EFF"/>
    <w:rsid w:val="00351CF0"/>
    <w:rsid w:val="00351E44"/>
    <w:rsid w:val="003527C9"/>
    <w:rsid w:val="00352F13"/>
    <w:rsid w:val="003537CC"/>
    <w:rsid w:val="003555B6"/>
    <w:rsid w:val="00356931"/>
    <w:rsid w:val="003578DA"/>
    <w:rsid w:val="00357ABE"/>
    <w:rsid w:val="00362021"/>
    <w:rsid w:val="00362266"/>
    <w:rsid w:val="003630F7"/>
    <w:rsid w:val="00363996"/>
    <w:rsid w:val="003645CD"/>
    <w:rsid w:val="00364B65"/>
    <w:rsid w:val="003674FE"/>
    <w:rsid w:val="00370E3C"/>
    <w:rsid w:val="0037127A"/>
    <w:rsid w:val="00372F0E"/>
    <w:rsid w:val="00374230"/>
    <w:rsid w:val="0037479B"/>
    <w:rsid w:val="00375786"/>
    <w:rsid w:val="00375FCC"/>
    <w:rsid w:val="00377657"/>
    <w:rsid w:val="00377F94"/>
    <w:rsid w:val="0038029C"/>
    <w:rsid w:val="00380AF7"/>
    <w:rsid w:val="003813DD"/>
    <w:rsid w:val="003826F3"/>
    <w:rsid w:val="00382957"/>
    <w:rsid w:val="00382C43"/>
    <w:rsid w:val="003835A8"/>
    <w:rsid w:val="003836E4"/>
    <w:rsid w:val="00383F21"/>
    <w:rsid w:val="00384979"/>
    <w:rsid w:val="003855D6"/>
    <w:rsid w:val="00386504"/>
    <w:rsid w:val="00390EAF"/>
    <w:rsid w:val="003910F9"/>
    <w:rsid w:val="00391185"/>
    <w:rsid w:val="0039147A"/>
    <w:rsid w:val="003936FE"/>
    <w:rsid w:val="00393B00"/>
    <w:rsid w:val="00394649"/>
    <w:rsid w:val="00395962"/>
    <w:rsid w:val="00395EB1"/>
    <w:rsid w:val="00397A16"/>
    <w:rsid w:val="003A1389"/>
    <w:rsid w:val="003A22BB"/>
    <w:rsid w:val="003A24AB"/>
    <w:rsid w:val="003A3BB9"/>
    <w:rsid w:val="003A5B2A"/>
    <w:rsid w:val="003A5FF4"/>
    <w:rsid w:val="003A77C8"/>
    <w:rsid w:val="003A78B9"/>
    <w:rsid w:val="003B01F7"/>
    <w:rsid w:val="003B0C85"/>
    <w:rsid w:val="003B0DB5"/>
    <w:rsid w:val="003B2473"/>
    <w:rsid w:val="003B27EA"/>
    <w:rsid w:val="003B482F"/>
    <w:rsid w:val="003B4AC6"/>
    <w:rsid w:val="003B57E7"/>
    <w:rsid w:val="003B6791"/>
    <w:rsid w:val="003B6C55"/>
    <w:rsid w:val="003B7183"/>
    <w:rsid w:val="003B7749"/>
    <w:rsid w:val="003C01EB"/>
    <w:rsid w:val="003C46EA"/>
    <w:rsid w:val="003C48C7"/>
    <w:rsid w:val="003C4B1F"/>
    <w:rsid w:val="003C4C9D"/>
    <w:rsid w:val="003C5450"/>
    <w:rsid w:val="003C5C64"/>
    <w:rsid w:val="003D06E9"/>
    <w:rsid w:val="003D2ECE"/>
    <w:rsid w:val="003D43F7"/>
    <w:rsid w:val="003D4C0A"/>
    <w:rsid w:val="003D585D"/>
    <w:rsid w:val="003D759D"/>
    <w:rsid w:val="003D7776"/>
    <w:rsid w:val="003E0FC5"/>
    <w:rsid w:val="003E1149"/>
    <w:rsid w:val="003E162E"/>
    <w:rsid w:val="003E1FD7"/>
    <w:rsid w:val="003E2678"/>
    <w:rsid w:val="003E4812"/>
    <w:rsid w:val="003E5BC3"/>
    <w:rsid w:val="003E6030"/>
    <w:rsid w:val="003E65D3"/>
    <w:rsid w:val="003E6F5B"/>
    <w:rsid w:val="003F1AB2"/>
    <w:rsid w:val="003F1E44"/>
    <w:rsid w:val="003F613D"/>
    <w:rsid w:val="003F77F4"/>
    <w:rsid w:val="003F7838"/>
    <w:rsid w:val="003F7B90"/>
    <w:rsid w:val="00400A13"/>
    <w:rsid w:val="004010A6"/>
    <w:rsid w:val="00401444"/>
    <w:rsid w:val="00404F4D"/>
    <w:rsid w:val="00405FC6"/>
    <w:rsid w:val="004077E4"/>
    <w:rsid w:val="0041093D"/>
    <w:rsid w:val="00410FE2"/>
    <w:rsid w:val="00412DA2"/>
    <w:rsid w:val="00413D1D"/>
    <w:rsid w:val="004159BA"/>
    <w:rsid w:val="00415F38"/>
    <w:rsid w:val="00416269"/>
    <w:rsid w:val="00416AC0"/>
    <w:rsid w:val="00416BEE"/>
    <w:rsid w:val="00420589"/>
    <w:rsid w:val="00422461"/>
    <w:rsid w:val="00425204"/>
    <w:rsid w:val="00426734"/>
    <w:rsid w:val="00426F07"/>
    <w:rsid w:val="00430085"/>
    <w:rsid w:val="00430612"/>
    <w:rsid w:val="004319F5"/>
    <w:rsid w:val="00431F40"/>
    <w:rsid w:val="00433B39"/>
    <w:rsid w:val="0043453A"/>
    <w:rsid w:val="00436C92"/>
    <w:rsid w:val="00443043"/>
    <w:rsid w:val="0044373F"/>
    <w:rsid w:val="00443AAB"/>
    <w:rsid w:val="00444202"/>
    <w:rsid w:val="00444BA6"/>
    <w:rsid w:val="00444D4C"/>
    <w:rsid w:val="004502F1"/>
    <w:rsid w:val="00452A6C"/>
    <w:rsid w:val="0045329E"/>
    <w:rsid w:val="00453433"/>
    <w:rsid w:val="004539F6"/>
    <w:rsid w:val="004542DC"/>
    <w:rsid w:val="0045550E"/>
    <w:rsid w:val="004565FE"/>
    <w:rsid w:val="00457434"/>
    <w:rsid w:val="0046076E"/>
    <w:rsid w:val="004609A1"/>
    <w:rsid w:val="00461A92"/>
    <w:rsid w:val="00462038"/>
    <w:rsid w:val="00462749"/>
    <w:rsid w:val="00462F67"/>
    <w:rsid w:val="00463199"/>
    <w:rsid w:val="00463921"/>
    <w:rsid w:val="00464362"/>
    <w:rsid w:val="00464EC7"/>
    <w:rsid w:val="00466712"/>
    <w:rsid w:val="00466C4B"/>
    <w:rsid w:val="00470D4C"/>
    <w:rsid w:val="00471172"/>
    <w:rsid w:val="00472D94"/>
    <w:rsid w:val="0047367F"/>
    <w:rsid w:val="00477406"/>
    <w:rsid w:val="00477BA3"/>
    <w:rsid w:val="00481931"/>
    <w:rsid w:val="004821C4"/>
    <w:rsid w:val="00482B5A"/>
    <w:rsid w:val="00484CB0"/>
    <w:rsid w:val="004850C8"/>
    <w:rsid w:val="00486B87"/>
    <w:rsid w:val="00487797"/>
    <w:rsid w:val="00490481"/>
    <w:rsid w:val="00490B33"/>
    <w:rsid w:val="00490FCB"/>
    <w:rsid w:val="00491181"/>
    <w:rsid w:val="0049192F"/>
    <w:rsid w:val="00491B40"/>
    <w:rsid w:val="00491C1E"/>
    <w:rsid w:val="0049314C"/>
    <w:rsid w:val="0049374F"/>
    <w:rsid w:val="00493ADB"/>
    <w:rsid w:val="00493DFA"/>
    <w:rsid w:val="00494BD3"/>
    <w:rsid w:val="004956C9"/>
    <w:rsid w:val="00495FBC"/>
    <w:rsid w:val="00495FD3"/>
    <w:rsid w:val="0049677D"/>
    <w:rsid w:val="00496A1F"/>
    <w:rsid w:val="004A13DB"/>
    <w:rsid w:val="004A2212"/>
    <w:rsid w:val="004A2252"/>
    <w:rsid w:val="004A4D41"/>
    <w:rsid w:val="004A5004"/>
    <w:rsid w:val="004A5192"/>
    <w:rsid w:val="004A5912"/>
    <w:rsid w:val="004A61E7"/>
    <w:rsid w:val="004A6B4A"/>
    <w:rsid w:val="004A6EF3"/>
    <w:rsid w:val="004A7763"/>
    <w:rsid w:val="004B235C"/>
    <w:rsid w:val="004B2555"/>
    <w:rsid w:val="004B2570"/>
    <w:rsid w:val="004B291C"/>
    <w:rsid w:val="004B2E60"/>
    <w:rsid w:val="004B3304"/>
    <w:rsid w:val="004B3515"/>
    <w:rsid w:val="004B5493"/>
    <w:rsid w:val="004B5D6A"/>
    <w:rsid w:val="004B7C73"/>
    <w:rsid w:val="004C0F1A"/>
    <w:rsid w:val="004C137C"/>
    <w:rsid w:val="004C1780"/>
    <w:rsid w:val="004C1FDA"/>
    <w:rsid w:val="004C4549"/>
    <w:rsid w:val="004C73BE"/>
    <w:rsid w:val="004C7668"/>
    <w:rsid w:val="004D03A7"/>
    <w:rsid w:val="004D1219"/>
    <w:rsid w:val="004D13FD"/>
    <w:rsid w:val="004D1B77"/>
    <w:rsid w:val="004D1CF3"/>
    <w:rsid w:val="004D2BE0"/>
    <w:rsid w:val="004D34E8"/>
    <w:rsid w:val="004D3522"/>
    <w:rsid w:val="004D4E9E"/>
    <w:rsid w:val="004D65C0"/>
    <w:rsid w:val="004D6F54"/>
    <w:rsid w:val="004D7228"/>
    <w:rsid w:val="004E0FAE"/>
    <w:rsid w:val="004E2005"/>
    <w:rsid w:val="004E4B89"/>
    <w:rsid w:val="004E7D9B"/>
    <w:rsid w:val="004F0048"/>
    <w:rsid w:val="004F0595"/>
    <w:rsid w:val="004F0A26"/>
    <w:rsid w:val="004F126C"/>
    <w:rsid w:val="004F2332"/>
    <w:rsid w:val="004F2417"/>
    <w:rsid w:val="004F2C91"/>
    <w:rsid w:val="004F384B"/>
    <w:rsid w:val="004F41B4"/>
    <w:rsid w:val="004F4333"/>
    <w:rsid w:val="004F7838"/>
    <w:rsid w:val="00501874"/>
    <w:rsid w:val="00503127"/>
    <w:rsid w:val="005035A2"/>
    <w:rsid w:val="005049D2"/>
    <w:rsid w:val="00504F9C"/>
    <w:rsid w:val="005067DA"/>
    <w:rsid w:val="0051110D"/>
    <w:rsid w:val="005120E5"/>
    <w:rsid w:val="00512272"/>
    <w:rsid w:val="00513C07"/>
    <w:rsid w:val="00514BFF"/>
    <w:rsid w:val="005157B6"/>
    <w:rsid w:val="00515F28"/>
    <w:rsid w:val="00515FB2"/>
    <w:rsid w:val="00516C6C"/>
    <w:rsid w:val="005178D8"/>
    <w:rsid w:val="00517C00"/>
    <w:rsid w:val="005221D9"/>
    <w:rsid w:val="00523B52"/>
    <w:rsid w:val="00524048"/>
    <w:rsid w:val="00524B6C"/>
    <w:rsid w:val="0052548F"/>
    <w:rsid w:val="00527577"/>
    <w:rsid w:val="005277E7"/>
    <w:rsid w:val="0053023B"/>
    <w:rsid w:val="005306D7"/>
    <w:rsid w:val="005313A4"/>
    <w:rsid w:val="00532527"/>
    <w:rsid w:val="0053255D"/>
    <w:rsid w:val="00533865"/>
    <w:rsid w:val="00534657"/>
    <w:rsid w:val="0053480A"/>
    <w:rsid w:val="00534FF6"/>
    <w:rsid w:val="00535AF1"/>
    <w:rsid w:val="00535C38"/>
    <w:rsid w:val="00540194"/>
    <w:rsid w:val="00540222"/>
    <w:rsid w:val="00540913"/>
    <w:rsid w:val="00541817"/>
    <w:rsid w:val="005423DF"/>
    <w:rsid w:val="00542D73"/>
    <w:rsid w:val="00545645"/>
    <w:rsid w:val="005459EB"/>
    <w:rsid w:val="0054794D"/>
    <w:rsid w:val="00550435"/>
    <w:rsid w:val="0055081B"/>
    <w:rsid w:val="00550D21"/>
    <w:rsid w:val="005513EF"/>
    <w:rsid w:val="00552073"/>
    <w:rsid w:val="00552190"/>
    <w:rsid w:val="0055465A"/>
    <w:rsid w:val="00555BFC"/>
    <w:rsid w:val="005576D9"/>
    <w:rsid w:val="005579C6"/>
    <w:rsid w:val="00561E4F"/>
    <w:rsid w:val="00564854"/>
    <w:rsid w:val="0056603F"/>
    <w:rsid w:val="005664CE"/>
    <w:rsid w:val="005668F7"/>
    <w:rsid w:val="0057049E"/>
    <w:rsid w:val="0057161E"/>
    <w:rsid w:val="00571765"/>
    <w:rsid w:val="005728E9"/>
    <w:rsid w:val="005730E2"/>
    <w:rsid w:val="0057384E"/>
    <w:rsid w:val="00573933"/>
    <w:rsid w:val="00573D79"/>
    <w:rsid w:val="00574565"/>
    <w:rsid w:val="00574DEB"/>
    <w:rsid w:val="0057651A"/>
    <w:rsid w:val="00577384"/>
    <w:rsid w:val="005773F9"/>
    <w:rsid w:val="00582A2A"/>
    <w:rsid w:val="00582DBF"/>
    <w:rsid w:val="00583892"/>
    <w:rsid w:val="00583A6D"/>
    <w:rsid w:val="005841FA"/>
    <w:rsid w:val="00584848"/>
    <w:rsid w:val="005850B5"/>
    <w:rsid w:val="0058510F"/>
    <w:rsid w:val="00585D6C"/>
    <w:rsid w:val="0059046E"/>
    <w:rsid w:val="00590CC4"/>
    <w:rsid w:val="005911C1"/>
    <w:rsid w:val="00591C1B"/>
    <w:rsid w:val="00591D42"/>
    <w:rsid w:val="005930A7"/>
    <w:rsid w:val="00593EE3"/>
    <w:rsid w:val="005941C5"/>
    <w:rsid w:val="00594C5F"/>
    <w:rsid w:val="005953A8"/>
    <w:rsid w:val="00595C20"/>
    <w:rsid w:val="00596887"/>
    <w:rsid w:val="00597D32"/>
    <w:rsid w:val="005A090F"/>
    <w:rsid w:val="005A0ABB"/>
    <w:rsid w:val="005A3055"/>
    <w:rsid w:val="005A3693"/>
    <w:rsid w:val="005A5292"/>
    <w:rsid w:val="005A55CD"/>
    <w:rsid w:val="005A59AE"/>
    <w:rsid w:val="005A6433"/>
    <w:rsid w:val="005B082E"/>
    <w:rsid w:val="005B0CCC"/>
    <w:rsid w:val="005B1250"/>
    <w:rsid w:val="005B24C2"/>
    <w:rsid w:val="005B2A43"/>
    <w:rsid w:val="005B2B57"/>
    <w:rsid w:val="005B31E7"/>
    <w:rsid w:val="005B5F34"/>
    <w:rsid w:val="005B6277"/>
    <w:rsid w:val="005B6F0D"/>
    <w:rsid w:val="005C29BA"/>
    <w:rsid w:val="005C3DFA"/>
    <w:rsid w:val="005C40A9"/>
    <w:rsid w:val="005C4A50"/>
    <w:rsid w:val="005C57FE"/>
    <w:rsid w:val="005C5AB8"/>
    <w:rsid w:val="005D1E4B"/>
    <w:rsid w:val="005D5B14"/>
    <w:rsid w:val="005D6461"/>
    <w:rsid w:val="005D6F56"/>
    <w:rsid w:val="005D7090"/>
    <w:rsid w:val="005D7B7D"/>
    <w:rsid w:val="005E027B"/>
    <w:rsid w:val="005E0EF4"/>
    <w:rsid w:val="005E2A28"/>
    <w:rsid w:val="005E3679"/>
    <w:rsid w:val="005E44E3"/>
    <w:rsid w:val="005E5DCA"/>
    <w:rsid w:val="005E69E0"/>
    <w:rsid w:val="005E7871"/>
    <w:rsid w:val="005E79C8"/>
    <w:rsid w:val="005F007E"/>
    <w:rsid w:val="005F1A89"/>
    <w:rsid w:val="005F1C37"/>
    <w:rsid w:val="005F2394"/>
    <w:rsid w:val="005F2A23"/>
    <w:rsid w:val="005F3D82"/>
    <w:rsid w:val="005F5573"/>
    <w:rsid w:val="005F68FF"/>
    <w:rsid w:val="00602211"/>
    <w:rsid w:val="00603708"/>
    <w:rsid w:val="00603B8B"/>
    <w:rsid w:val="00603BA8"/>
    <w:rsid w:val="0060441E"/>
    <w:rsid w:val="00605074"/>
    <w:rsid w:val="00607BAC"/>
    <w:rsid w:val="006108E3"/>
    <w:rsid w:val="00610FA8"/>
    <w:rsid w:val="00611FFE"/>
    <w:rsid w:val="0061351B"/>
    <w:rsid w:val="0061371B"/>
    <w:rsid w:val="00613E73"/>
    <w:rsid w:val="0061446A"/>
    <w:rsid w:val="00614DEB"/>
    <w:rsid w:val="0061555E"/>
    <w:rsid w:val="00615A8E"/>
    <w:rsid w:val="006160D8"/>
    <w:rsid w:val="00616F72"/>
    <w:rsid w:val="00620413"/>
    <w:rsid w:val="00620738"/>
    <w:rsid w:val="00620BA8"/>
    <w:rsid w:val="00620BDB"/>
    <w:rsid w:val="006211B2"/>
    <w:rsid w:val="00621828"/>
    <w:rsid w:val="006218FF"/>
    <w:rsid w:val="00623818"/>
    <w:rsid w:val="006250A0"/>
    <w:rsid w:val="00625211"/>
    <w:rsid w:val="0062571A"/>
    <w:rsid w:val="00625E93"/>
    <w:rsid w:val="006270B7"/>
    <w:rsid w:val="006276A7"/>
    <w:rsid w:val="00632E24"/>
    <w:rsid w:val="00633840"/>
    <w:rsid w:val="00633944"/>
    <w:rsid w:val="0063574B"/>
    <w:rsid w:val="00637084"/>
    <w:rsid w:val="0063791A"/>
    <w:rsid w:val="00640E8B"/>
    <w:rsid w:val="006419A4"/>
    <w:rsid w:val="0064470B"/>
    <w:rsid w:val="00646227"/>
    <w:rsid w:val="00646A53"/>
    <w:rsid w:val="0064798A"/>
    <w:rsid w:val="00650783"/>
    <w:rsid w:val="006509C9"/>
    <w:rsid w:val="00651702"/>
    <w:rsid w:val="006526AE"/>
    <w:rsid w:val="006531D8"/>
    <w:rsid w:val="00655757"/>
    <w:rsid w:val="0065577D"/>
    <w:rsid w:val="00657DCD"/>
    <w:rsid w:val="00657DD5"/>
    <w:rsid w:val="00661174"/>
    <w:rsid w:val="00661BA6"/>
    <w:rsid w:val="006632A5"/>
    <w:rsid w:val="00666ADD"/>
    <w:rsid w:val="006674BD"/>
    <w:rsid w:val="00670858"/>
    <w:rsid w:val="00670CCE"/>
    <w:rsid w:val="0067114C"/>
    <w:rsid w:val="00671B0D"/>
    <w:rsid w:val="00672B82"/>
    <w:rsid w:val="00673446"/>
    <w:rsid w:val="0067386A"/>
    <w:rsid w:val="00674845"/>
    <w:rsid w:val="006767EC"/>
    <w:rsid w:val="00676989"/>
    <w:rsid w:val="006777E3"/>
    <w:rsid w:val="00680E5B"/>
    <w:rsid w:val="00681D6F"/>
    <w:rsid w:val="00681E92"/>
    <w:rsid w:val="0068255C"/>
    <w:rsid w:val="006825FA"/>
    <w:rsid w:val="00683336"/>
    <w:rsid w:val="00683B29"/>
    <w:rsid w:val="006843D3"/>
    <w:rsid w:val="00686EBC"/>
    <w:rsid w:val="00686F4D"/>
    <w:rsid w:val="00687C04"/>
    <w:rsid w:val="00690F29"/>
    <w:rsid w:val="0069162B"/>
    <w:rsid w:val="00692C10"/>
    <w:rsid w:val="0069492C"/>
    <w:rsid w:val="00694ACA"/>
    <w:rsid w:val="0069696C"/>
    <w:rsid w:val="00696EC3"/>
    <w:rsid w:val="00697163"/>
    <w:rsid w:val="006971EB"/>
    <w:rsid w:val="00697472"/>
    <w:rsid w:val="006A0072"/>
    <w:rsid w:val="006A034F"/>
    <w:rsid w:val="006A19B1"/>
    <w:rsid w:val="006A2853"/>
    <w:rsid w:val="006A2BAC"/>
    <w:rsid w:val="006A3A41"/>
    <w:rsid w:val="006A6BB5"/>
    <w:rsid w:val="006A71D8"/>
    <w:rsid w:val="006A7280"/>
    <w:rsid w:val="006B1463"/>
    <w:rsid w:val="006B15D6"/>
    <w:rsid w:val="006B2117"/>
    <w:rsid w:val="006B25F2"/>
    <w:rsid w:val="006B3D3D"/>
    <w:rsid w:val="006B450D"/>
    <w:rsid w:val="006B5547"/>
    <w:rsid w:val="006B5A90"/>
    <w:rsid w:val="006B607C"/>
    <w:rsid w:val="006B6265"/>
    <w:rsid w:val="006B65A0"/>
    <w:rsid w:val="006C2012"/>
    <w:rsid w:val="006C21A7"/>
    <w:rsid w:val="006C2ACF"/>
    <w:rsid w:val="006C3A63"/>
    <w:rsid w:val="006C65C1"/>
    <w:rsid w:val="006C6DFE"/>
    <w:rsid w:val="006D0259"/>
    <w:rsid w:val="006D0B42"/>
    <w:rsid w:val="006D22FB"/>
    <w:rsid w:val="006D337D"/>
    <w:rsid w:val="006D3ACA"/>
    <w:rsid w:val="006D3BE8"/>
    <w:rsid w:val="006D447B"/>
    <w:rsid w:val="006D6A14"/>
    <w:rsid w:val="006D6FF3"/>
    <w:rsid w:val="006D7580"/>
    <w:rsid w:val="006D7B52"/>
    <w:rsid w:val="006E0E32"/>
    <w:rsid w:val="006E1A1A"/>
    <w:rsid w:val="006E3CC9"/>
    <w:rsid w:val="006E50A1"/>
    <w:rsid w:val="006E74DF"/>
    <w:rsid w:val="006F1388"/>
    <w:rsid w:val="006F1414"/>
    <w:rsid w:val="006F30D5"/>
    <w:rsid w:val="006F3727"/>
    <w:rsid w:val="006F43F1"/>
    <w:rsid w:val="006F4606"/>
    <w:rsid w:val="006F4C94"/>
    <w:rsid w:val="006F5142"/>
    <w:rsid w:val="006F5230"/>
    <w:rsid w:val="006F5B00"/>
    <w:rsid w:val="006F5C19"/>
    <w:rsid w:val="006F75BB"/>
    <w:rsid w:val="00700AB5"/>
    <w:rsid w:val="0070259C"/>
    <w:rsid w:val="00703796"/>
    <w:rsid w:val="00703B5C"/>
    <w:rsid w:val="007044AD"/>
    <w:rsid w:val="00704AC9"/>
    <w:rsid w:val="007054F7"/>
    <w:rsid w:val="0070589C"/>
    <w:rsid w:val="00706738"/>
    <w:rsid w:val="00706C87"/>
    <w:rsid w:val="0070717F"/>
    <w:rsid w:val="0071025E"/>
    <w:rsid w:val="007106D9"/>
    <w:rsid w:val="00711B07"/>
    <w:rsid w:val="00712044"/>
    <w:rsid w:val="0071406F"/>
    <w:rsid w:val="00715852"/>
    <w:rsid w:val="00716155"/>
    <w:rsid w:val="0072111B"/>
    <w:rsid w:val="00722A71"/>
    <w:rsid w:val="00723582"/>
    <w:rsid w:val="007261FE"/>
    <w:rsid w:val="00726B4D"/>
    <w:rsid w:val="00726CAA"/>
    <w:rsid w:val="007278AD"/>
    <w:rsid w:val="00727FF7"/>
    <w:rsid w:val="0073001A"/>
    <w:rsid w:val="00730BE3"/>
    <w:rsid w:val="00731776"/>
    <w:rsid w:val="0073204E"/>
    <w:rsid w:val="007321B7"/>
    <w:rsid w:val="00732A54"/>
    <w:rsid w:val="00733B6F"/>
    <w:rsid w:val="00734B31"/>
    <w:rsid w:val="007357C8"/>
    <w:rsid w:val="00735C40"/>
    <w:rsid w:val="007376F2"/>
    <w:rsid w:val="0073790E"/>
    <w:rsid w:val="00737D5B"/>
    <w:rsid w:val="00737F61"/>
    <w:rsid w:val="00741854"/>
    <w:rsid w:val="00741F20"/>
    <w:rsid w:val="00741FA9"/>
    <w:rsid w:val="00742557"/>
    <w:rsid w:val="00744623"/>
    <w:rsid w:val="00746085"/>
    <w:rsid w:val="00750046"/>
    <w:rsid w:val="007501B3"/>
    <w:rsid w:val="00752DC7"/>
    <w:rsid w:val="00753349"/>
    <w:rsid w:val="007537F4"/>
    <w:rsid w:val="00753AF2"/>
    <w:rsid w:val="00753B05"/>
    <w:rsid w:val="007543E2"/>
    <w:rsid w:val="007543E9"/>
    <w:rsid w:val="00754E8C"/>
    <w:rsid w:val="00757A30"/>
    <w:rsid w:val="00760309"/>
    <w:rsid w:val="007608C6"/>
    <w:rsid w:val="0076135F"/>
    <w:rsid w:val="00762576"/>
    <w:rsid w:val="00762E7D"/>
    <w:rsid w:val="00763FE9"/>
    <w:rsid w:val="0076467A"/>
    <w:rsid w:val="007648F3"/>
    <w:rsid w:val="00764BCB"/>
    <w:rsid w:val="00764C88"/>
    <w:rsid w:val="007655A3"/>
    <w:rsid w:val="00765F38"/>
    <w:rsid w:val="00766CB5"/>
    <w:rsid w:val="00767030"/>
    <w:rsid w:val="007707B7"/>
    <w:rsid w:val="007715D9"/>
    <w:rsid w:val="007732D7"/>
    <w:rsid w:val="00773931"/>
    <w:rsid w:val="00773B4C"/>
    <w:rsid w:val="00773C03"/>
    <w:rsid w:val="00774FC9"/>
    <w:rsid w:val="00776521"/>
    <w:rsid w:val="00776C77"/>
    <w:rsid w:val="00776F46"/>
    <w:rsid w:val="007773CF"/>
    <w:rsid w:val="00782B82"/>
    <w:rsid w:val="00782CB6"/>
    <w:rsid w:val="007835DD"/>
    <w:rsid w:val="00783960"/>
    <w:rsid w:val="00785448"/>
    <w:rsid w:val="007858A1"/>
    <w:rsid w:val="00785DBA"/>
    <w:rsid w:val="0078730C"/>
    <w:rsid w:val="0079130C"/>
    <w:rsid w:val="007915BD"/>
    <w:rsid w:val="0079187C"/>
    <w:rsid w:val="00791AE9"/>
    <w:rsid w:val="00791E5B"/>
    <w:rsid w:val="00791EB9"/>
    <w:rsid w:val="0079289C"/>
    <w:rsid w:val="00793926"/>
    <w:rsid w:val="00793DE8"/>
    <w:rsid w:val="00794FB7"/>
    <w:rsid w:val="00795506"/>
    <w:rsid w:val="00795A0D"/>
    <w:rsid w:val="00796D02"/>
    <w:rsid w:val="00797A64"/>
    <w:rsid w:val="00797A6E"/>
    <w:rsid w:val="007A01F2"/>
    <w:rsid w:val="007A0CD8"/>
    <w:rsid w:val="007A14C5"/>
    <w:rsid w:val="007A342C"/>
    <w:rsid w:val="007A4F00"/>
    <w:rsid w:val="007A52AE"/>
    <w:rsid w:val="007A5883"/>
    <w:rsid w:val="007A7B97"/>
    <w:rsid w:val="007B0491"/>
    <w:rsid w:val="007B0F99"/>
    <w:rsid w:val="007B13A8"/>
    <w:rsid w:val="007B219D"/>
    <w:rsid w:val="007B2253"/>
    <w:rsid w:val="007B2447"/>
    <w:rsid w:val="007B4E5D"/>
    <w:rsid w:val="007B5FD5"/>
    <w:rsid w:val="007B6183"/>
    <w:rsid w:val="007B7640"/>
    <w:rsid w:val="007C1820"/>
    <w:rsid w:val="007C1B35"/>
    <w:rsid w:val="007C30D8"/>
    <w:rsid w:val="007C37F1"/>
    <w:rsid w:val="007C7799"/>
    <w:rsid w:val="007C7C41"/>
    <w:rsid w:val="007D17CA"/>
    <w:rsid w:val="007D264F"/>
    <w:rsid w:val="007D2783"/>
    <w:rsid w:val="007D440A"/>
    <w:rsid w:val="007D4A84"/>
    <w:rsid w:val="007D70EF"/>
    <w:rsid w:val="007E0504"/>
    <w:rsid w:val="007E0DA1"/>
    <w:rsid w:val="007E1512"/>
    <w:rsid w:val="007E38B8"/>
    <w:rsid w:val="007E5D31"/>
    <w:rsid w:val="007E5E25"/>
    <w:rsid w:val="007F03C9"/>
    <w:rsid w:val="007F0716"/>
    <w:rsid w:val="007F1F04"/>
    <w:rsid w:val="007F21C2"/>
    <w:rsid w:val="007F293F"/>
    <w:rsid w:val="007F5737"/>
    <w:rsid w:val="007F5AD2"/>
    <w:rsid w:val="007F64ED"/>
    <w:rsid w:val="00801E4B"/>
    <w:rsid w:val="00801F35"/>
    <w:rsid w:val="00802FE8"/>
    <w:rsid w:val="00804EC8"/>
    <w:rsid w:val="0080555A"/>
    <w:rsid w:val="00805836"/>
    <w:rsid w:val="00807479"/>
    <w:rsid w:val="00807AEF"/>
    <w:rsid w:val="008109CD"/>
    <w:rsid w:val="00810E89"/>
    <w:rsid w:val="00810F98"/>
    <w:rsid w:val="00811428"/>
    <w:rsid w:val="0081182A"/>
    <w:rsid w:val="0081183F"/>
    <w:rsid w:val="00811B9F"/>
    <w:rsid w:val="00812276"/>
    <w:rsid w:val="0081358A"/>
    <w:rsid w:val="00814481"/>
    <w:rsid w:val="00815D20"/>
    <w:rsid w:val="00816069"/>
    <w:rsid w:val="00816097"/>
    <w:rsid w:val="00817000"/>
    <w:rsid w:val="008174A9"/>
    <w:rsid w:val="00817F22"/>
    <w:rsid w:val="008211F8"/>
    <w:rsid w:val="0082242A"/>
    <w:rsid w:val="008232C0"/>
    <w:rsid w:val="00823DDE"/>
    <w:rsid w:val="00824022"/>
    <w:rsid w:val="008267B1"/>
    <w:rsid w:val="00827E86"/>
    <w:rsid w:val="00827EC2"/>
    <w:rsid w:val="00830673"/>
    <w:rsid w:val="008318A9"/>
    <w:rsid w:val="00832B81"/>
    <w:rsid w:val="00832D2D"/>
    <w:rsid w:val="00834ED6"/>
    <w:rsid w:val="00836DF2"/>
    <w:rsid w:val="00836EE2"/>
    <w:rsid w:val="008402B4"/>
    <w:rsid w:val="008405B8"/>
    <w:rsid w:val="008408A4"/>
    <w:rsid w:val="00843339"/>
    <w:rsid w:val="00843581"/>
    <w:rsid w:val="008436F9"/>
    <w:rsid w:val="00843B53"/>
    <w:rsid w:val="00845B04"/>
    <w:rsid w:val="00847CDA"/>
    <w:rsid w:val="00851DF6"/>
    <w:rsid w:val="00852118"/>
    <w:rsid w:val="0085245C"/>
    <w:rsid w:val="00853171"/>
    <w:rsid w:val="008543EA"/>
    <w:rsid w:val="00854D37"/>
    <w:rsid w:val="008570F3"/>
    <w:rsid w:val="0085796F"/>
    <w:rsid w:val="00860362"/>
    <w:rsid w:val="00861324"/>
    <w:rsid w:val="00863306"/>
    <w:rsid w:val="00863C36"/>
    <w:rsid w:val="00864301"/>
    <w:rsid w:val="0086471C"/>
    <w:rsid w:val="0086522B"/>
    <w:rsid w:val="00865611"/>
    <w:rsid w:val="0086664F"/>
    <w:rsid w:val="0086673D"/>
    <w:rsid w:val="00866B19"/>
    <w:rsid w:val="00867B16"/>
    <w:rsid w:val="00867B2B"/>
    <w:rsid w:val="0087035C"/>
    <w:rsid w:val="00871366"/>
    <w:rsid w:val="00871895"/>
    <w:rsid w:val="00872B70"/>
    <w:rsid w:val="00872CEE"/>
    <w:rsid w:val="00874068"/>
    <w:rsid w:val="008751D2"/>
    <w:rsid w:val="008766BC"/>
    <w:rsid w:val="00877765"/>
    <w:rsid w:val="00877D1C"/>
    <w:rsid w:val="008807D0"/>
    <w:rsid w:val="0088148E"/>
    <w:rsid w:val="008817D8"/>
    <w:rsid w:val="008825AD"/>
    <w:rsid w:val="0088408A"/>
    <w:rsid w:val="0088425F"/>
    <w:rsid w:val="008843A6"/>
    <w:rsid w:val="00884E52"/>
    <w:rsid w:val="00885F23"/>
    <w:rsid w:val="00885F8B"/>
    <w:rsid w:val="00886ABE"/>
    <w:rsid w:val="00886C9F"/>
    <w:rsid w:val="00886D51"/>
    <w:rsid w:val="008877B4"/>
    <w:rsid w:val="00890DEF"/>
    <w:rsid w:val="00890E7B"/>
    <w:rsid w:val="00890EEC"/>
    <w:rsid w:val="00892514"/>
    <w:rsid w:val="00893CCF"/>
    <w:rsid w:val="008945D2"/>
    <w:rsid w:val="00895DA1"/>
    <w:rsid w:val="00895F84"/>
    <w:rsid w:val="00896B88"/>
    <w:rsid w:val="00897118"/>
    <w:rsid w:val="00897A46"/>
    <w:rsid w:val="008A049C"/>
    <w:rsid w:val="008A199C"/>
    <w:rsid w:val="008A2821"/>
    <w:rsid w:val="008A4AE3"/>
    <w:rsid w:val="008A4CC9"/>
    <w:rsid w:val="008A4E50"/>
    <w:rsid w:val="008A4F9F"/>
    <w:rsid w:val="008A5320"/>
    <w:rsid w:val="008A54B8"/>
    <w:rsid w:val="008A7202"/>
    <w:rsid w:val="008B0395"/>
    <w:rsid w:val="008B0755"/>
    <w:rsid w:val="008B1FC7"/>
    <w:rsid w:val="008B2149"/>
    <w:rsid w:val="008B5E19"/>
    <w:rsid w:val="008B6474"/>
    <w:rsid w:val="008C0965"/>
    <w:rsid w:val="008C0B4D"/>
    <w:rsid w:val="008C1750"/>
    <w:rsid w:val="008C18DC"/>
    <w:rsid w:val="008C25C0"/>
    <w:rsid w:val="008C4850"/>
    <w:rsid w:val="008C4C9B"/>
    <w:rsid w:val="008C67DC"/>
    <w:rsid w:val="008C682A"/>
    <w:rsid w:val="008C7151"/>
    <w:rsid w:val="008C7C91"/>
    <w:rsid w:val="008C7D59"/>
    <w:rsid w:val="008C7FED"/>
    <w:rsid w:val="008D039A"/>
    <w:rsid w:val="008D128E"/>
    <w:rsid w:val="008D2737"/>
    <w:rsid w:val="008D3574"/>
    <w:rsid w:val="008D4189"/>
    <w:rsid w:val="008D45C4"/>
    <w:rsid w:val="008D5491"/>
    <w:rsid w:val="008D76F1"/>
    <w:rsid w:val="008E0F51"/>
    <w:rsid w:val="008E2ADA"/>
    <w:rsid w:val="008E2DE4"/>
    <w:rsid w:val="008E6CC8"/>
    <w:rsid w:val="008E77D5"/>
    <w:rsid w:val="008F19BA"/>
    <w:rsid w:val="008F27F8"/>
    <w:rsid w:val="008F3229"/>
    <w:rsid w:val="008F37A6"/>
    <w:rsid w:val="008F43B4"/>
    <w:rsid w:val="008F448D"/>
    <w:rsid w:val="008F51FB"/>
    <w:rsid w:val="008F5392"/>
    <w:rsid w:val="008F5F34"/>
    <w:rsid w:val="008F6334"/>
    <w:rsid w:val="008F70F8"/>
    <w:rsid w:val="008F71E0"/>
    <w:rsid w:val="008F7D9B"/>
    <w:rsid w:val="00901176"/>
    <w:rsid w:val="009016D6"/>
    <w:rsid w:val="009025F7"/>
    <w:rsid w:val="0090394C"/>
    <w:rsid w:val="00903D71"/>
    <w:rsid w:val="009048D8"/>
    <w:rsid w:val="009048E5"/>
    <w:rsid w:val="00906EF8"/>
    <w:rsid w:val="00912367"/>
    <w:rsid w:val="00912A50"/>
    <w:rsid w:val="009149B8"/>
    <w:rsid w:val="00916089"/>
    <w:rsid w:val="00917B26"/>
    <w:rsid w:val="00920B3A"/>
    <w:rsid w:val="00921225"/>
    <w:rsid w:val="00922142"/>
    <w:rsid w:val="00923297"/>
    <w:rsid w:val="00923534"/>
    <w:rsid w:val="009236F8"/>
    <w:rsid w:val="00923C6F"/>
    <w:rsid w:val="009256FC"/>
    <w:rsid w:val="009264CA"/>
    <w:rsid w:val="0092743C"/>
    <w:rsid w:val="00930EC6"/>
    <w:rsid w:val="00932110"/>
    <w:rsid w:val="00932410"/>
    <w:rsid w:val="00933725"/>
    <w:rsid w:val="009345F4"/>
    <w:rsid w:val="0093485D"/>
    <w:rsid w:val="009355A0"/>
    <w:rsid w:val="0093576F"/>
    <w:rsid w:val="00935976"/>
    <w:rsid w:val="00936268"/>
    <w:rsid w:val="0093653A"/>
    <w:rsid w:val="00936B6F"/>
    <w:rsid w:val="0094012F"/>
    <w:rsid w:val="0094056E"/>
    <w:rsid w:val="00940D64"/>
    <w:rsid w:val="00941889"/>
    <w:rsid w:val="00941B07"/>
    <w:rsid w:val="00942B33"/>
    <w:rsid w:val="009434B1"/>
    <w:rsid w:val="009438D5"/>
    <w:rsid w:val="009446C9"/>
    <w:rsid w:val="00944D18"/>
    <w:rsid w:val="0094620C"/>
    <w:rsid w:val="009475FE"/>
    <w:rsid w:val="00950B53"/>
    <w:rsid w:val="00950B95"/>
    <w:rsid w:val="0095125B"/>
    <w:rsid w:val="00951AE4"/>
    <w:rsid w:val="00951D83"/>
    <w:rsid w:val="009523C4"/>
    <w:rsid w:val="00952B76"/>
    <w:rsid w:val="00952DEF"/>
    <w:rsid w:val="00954AA4"/>
    <w:rsid w:val="00954EF4"/>
    <w:rsid w:val="0095653D"/>
    <w:rsid w:val="00957FD7"/>
    <w:rsid w:val="0096211D"/>
    <w:rsid w:val="009629C2"/>
    <w:rsid w:val="00963ABE"/>
    <w:rsid w:val="00964839"/>
    <w:rsid w:val="00964A06"/>
    <w:rsid w:val="00965CEF"/>
    <w:rsid w:val="0096641D"/>
    <w:rsid w:val="0096670B"/>
    <w:rsid w:val="00973D95"/>
    <w:rsid w:val="00973F32"/>
    <w:rsid w:val="0097534C"/>
    <w:rsid w:val="00975CA4"/>
    <w:rsid w:val="009762F7"/>
    <w:rsid w:val="00976573"/>
    <w:rsid w:val="00976E5A"/>
    <w:rsid w:val="00981188"/>
    <w:rsid w:val="0098197F"/>
    <w:rsid w:val="00982FFC"/>
    <w:rsid w:val="00983704"/>
    <w:rsid w:val="00983787"/>
    <w:rsid w:val="00984B0E"/>
    <w:rsid w:val="00985A27"/>
    <w:rsid w:val="009866D7"/>
    <w:rsid w:val="00986D10"/>
    <w:rsid w:val="0098745F"/>
    <w:rsid w:val="009875D5"/>
    <w:rsid w:val="00990C17"/>
    <w:rsid w:val="009912A3"/>
    <w:rsid w:val="00991FC8"/>
    <w:rsid w:val="0099215E"/>
    <w:rsid w:val="009943AA"/>
    <w:rsid w:val="00994545"/>
    <w:rsid w:val="009A05FD"/>
    <w:rsid w:val="009A1447"/>
    <w:rsid w:val="009A2F88"/>
    <w:rsid w:val="009A3A75"/>
    <w:rsid w:val="009A495A"/>
    <w:rsid w:val="009A6629"/>
    <w:rsid w:val="009A6901"/>
    <w:rsid w:val="009A7092"/>
    <w:rsid w:val="009A7BB3"/>
    <w:rsid w:val="009B07A8"/>
    <w:rsid w:val="009B09D8"/>
    <w:rsid w:val="009B3A54"/>
    <w:rsid w:val="009B4524"/>
    <w:rsid w:val="009B4B60"/>
    <w:rsid w:val="009B514F"/>
    <w:rsid w:val="009B6EC2"/>
    <w:rsid w:val="009B7BDF"/>
    <w:rsid w:val="009C091F"/>
    <w:rsid w:val="009C22DA"/>
    <w:rsid w:val="009C2C72"/>
    <w:rsid w:val="009C2E94"/>
    <w:rsid w:val="009C5215"/>
    <w:rsid w:val="009C6828"/>
    <w:rsid w:val="009D00FD"/>
    <w:rsid w:val="009D1A7E"/>
    <w:rsid w:val="009D1BB9"/>
    <w:rsid w:val="009D1F77"/>
    <w:rsid w:val="009D313A"/>
    <w:rsid w:val="009D4033"/>
    <w:rsid w:val="009D4AD1"/>
    <w:rsid w:val="009D5FCE"/>
    <w:rsid w:val="009D6CDB"/>
    <w:rsid w:val="009D7F29"/>
    <w:rsid w:val="009E16D3"/>
    <w:rsid w:val="009E1A42"/>
    <w:rsid w:val="009E2762"/>
    <w:rsid w:val="009E44EA"/>
    <w:rsid w:val="009E4D46"/>
    <w:rsid w:val="009E5770"/>
    <w:rsid w:val="009E5844"/>
    <w:rsid w:val="009E5AE7"/>
    <w:rsid w:val="009F00F8"/>
    <w:rsid w:val="009F2157"/>
    <w:rsid w:val="009F263B"/>
    <w:rsid w:val="009F2C4D"/>
    <w:rsid w:val="009F3052"/>
    <w:rsid w:val="009F4EF7"/>
    <w:rsid w:val="009F6C96"/>
    <w:rsid w:val="00A0069F"/>
    <w:rsid w:val="00A00777"/>
    <w:rsid w:val="00A01460"/>
    <w:rsid w:val="00A01C08"/>
    <w:rsid w:val="00A042EF"/>
    <w:rsid w:val="00A04664"/>
    <w:rsid w:val="00A06ACD"/>
    <w:rsid w:val="00A06F95"/>
    <w:rsid w:val="00A074D5"/>
    <w:rsid w:val="00A10244"/>
    <w:rsid w:val="00A1063F"/>
    <w:rsid w:val="00A10F5D"/>
    <w:rsid w:val="00A1117D"/>
    <w:rsid w:val="00A111AB"/>
    <w:rsid w:val="00A14AFC"/>
    <w:rsid w:val="00A16812"/>
    <w:rsid w:val="00A17021"/>
    <w:rsid w:val="00A17523"/>
    <w:rsid w:val="00A211C2"/>
    <w:rsid w:val="00A21EEA"/>
    <w:rsid w:val="00A22C6A"/>
    <w:rsid w:val="00A24108"/>
    <w:rsid w:val="00A248F0"/>
    <w:rsid w:val="00A25F62"/>
    <w:rsid w:val="00A26314"/>
    <w:rsid w:val="00A26B58"/>
    <w:rsid w:val="00A30BFC"/>
    <w:rsid w:val="00A31BC6"/>
    <w:rsid w:val="00A33EE1"/>
    <w:rsid w:val="00A35849"/>
    <w:rsid w:val="00A35AA5"/>
    <w:rsid w:val="00A366F0"/>
    <w:rsid w:val="00A371A1"/>
    <w:rsid w:val="00A37688"/>
    <w:rsid w:val="00A37905"/>
    <w:rsid w:val="00A4055E"/>
    <w:rsid w:val="00A410DF"/>
    <w:rsid w:val="00A42F00"/>
    <w:rsid w:val="00A431EB"/>
    <w:rsid w:val="00A47EEE"/>
    <w:rsid w:val="00A50833"/>
    <w:rsid w:val="00A50D50"/>
    <w:rsid w:val="00A5146E"/>
    <w:rsid w:val="00A5172A"/>
    <w:rsid w:val="00A53874"/>
    <w:rsid w:val="00A53CC5"/>
    <w:rsid w:val="00A564E8"/>
    <w:rsid w:val="00A5716C"/>
    <w:rsid w:val="00A57E07"/>
    <w:rsid w:val="00A57E37"/>
    <w:rsid w:val="00A61A71"/>
    <w:rsid w:val="00A633E7"/>
    <w:rsid w:val="00A637F5"/>
    <w:rsid w:val="00A648F8"/>
    <w:rsid w:val="00A671D3"/>
    <w:rsid w:val="00A702ED"/>
    <w:rsid w:val="00A707EC"/>
    <w:rsid w:val="00A70CA4"/>
    <w:rsid w:val="00A71496"/>
    <w:rsid w:val="00A73ADB"/>
    <w:rsid w:val="00A75334"/>
    <w:rsid w:val="00A7603B"/>
    <w:rsid w:val="00A76533"/>
    <w:rsid w:val="00A765E6"/>
    <w:rsid w:val="00A77873"/>
    <w:rsid w:val="00A779B5"/>
    <w:rsid w:val="00A802E2"/>
    <w:rsid w:val="00A8240C"/>
    <w:rsid w:val="00A833DE"/>
    <w:rsid w:val="00A83C7E"/>
    <w:rsid w:val="00A8467E"/>
    <w:rsid w:val="00A8693E"/>
    <w:rsid w:val="00A90BE6"/>
    <w:rsid w:val="00A91AF2"/>
    <w:rsid w:val="00A92147"/>
    <w:rsid w:val="00A92F09"/>
    <w:rsid w:val="00A93CCC"/>
    <w:rsid w:val="00A93E01"/>
    <w:rsid w:val="00A946DA"/>
    <w:rsid w:val="00A9584B"/>
    <w:rsid w:val="00A96B6A"/>
    <w:rsid w:val="00A96F37"/>
    <w:rsid w:val="00A97F41"/>
    <w:rsid w:val="00AA1C9F"/>
    <w:rsid w:val="00AA3FC8"/>
    <w:rsid w:val="00AA5376"/>
    <w:rsid w:val="00AB26D4"/>
    <w:rsid w:val="00AB2EE0"/>
    <w:rsid w:val="00AB38A4"/>
    <w:rsid w:val="00AB39A4"/>
    <w:rsid w:val="00AB4881"/>
    <w:rsid w:val="00AB5506"/>
    <w:rsid w:val="00AB5514"/>
    <w:rsid w:val="00AB63F4"/>
    <w:rsid w:val="00AB6686"/>
    <w:rsid w:val="00AB66CB"/>
    <w:rsid w:val="00AB7153"/>
    <w:rsid w:val="00AB7FDB"/>
    <w:rsid w:val="00AC3812"/>
    <w:rsid w:val="00AC44F0"/>
    <w:rsid w:val="00AC4FD7"/>
    <w:rsid w:val="00AC529C"/>
    <w:rsid w:val="00AC5775"/>
    <w:rsid w:val="00AC5A73"/>
    <w:rsid w:val="00AC6458"/>
    <w:rsid w:val="00AC69E6"/>
    <w:rsid w:val="00AC7FEB"/>
    <w:rsid w:val="00AD0716"/>
    <w:rsid w:val="00AD358D"/>
    <w:rsid w:val="00AD3E71"/>
    <w:rsid w:val="00AD3F34"/>
    <w:rsid w:val="00AD50C4"/>
    <w:rsid w:val="00AD565B"/>
    <w:rsid w:val="00AE033E"/>
    <w:rsid w:val="00AE0441"/>
    <w:rsid w:val="00AE05B3"/>
    <w:rsid w:val="00AE081B"/>
    <w:rsid w:val="00AE1A0D"/>
    <w:rsid w:val="00AE3E6C"/>
    <w:rsid w:val="00AE51FB"/>
    <w:rsid w:val="00AE52DF"/>
    <w:rsid w:val="00AE6F6A"/>
    <w:rsid w:val="00AE7455"/>
    <w:rsid w:val="00AF1EA4"/>
    <w:rsid w:val="00AF38CA"/>
    <w:rsid w:val="00AF65FC"/>
    <w:rsid w:val="00AF6A84"/>
    <w:rsid w:val="00AF7429"/>
    <w:rsid w:val="00AF7B79"/>
    <w:rsid w:val="00B00A1C"/>
    <w:rsid w:val="00B03113"/>
    <w:rsid w:val="00B0379A"/>
    <w:rsid w:val="00B03A67"/>
    <w:rsid w:val="00B040FC"/>
    <w:rsid w:val="00B04704"/>
    <w:rsid w:val="00B05686"/>
    <w:rsid w:val="00B05EAE"/>
    <w:rsid w:val="00B063BF"/>
    <w:rsid w:val="00B0686E"/>
    <w:rsid w:val="00B07165"/>
    <w:rsid w:val="00B11B39"/>
    <w:rsid w:val="00B12206"/>
    <w:rsid w:val="00B1254F"/>
    <w:rsid w:val="00B1462D"/>
    <w:rsid w:val="00B174C8"/>
    <w:rsid w:val="00B17F16"/>
    <w:rsid w:val="00B21620"/>
    <w:rsid w:val="00B2274F"/>
    <w:rsid w:val="00B22B7C"/>
    <w:rsid w:val="00B22E75"/>
    <w:rsid w:val="00B23474"/>
    <w:rsid w:val="00B2470D"/>
    <w:rsid w:val="00B24BFE"/>
    <w:rsid w:val="00B251F4"/>
    <w:rsid w:val="00B254C7"/>
    <w:rsid w:val="00B256C4"/>
    <w:rsid w:val="00B2599E"/>
    <w:rsid w:val="00B26DD0"/>
    <w:rsid w:val="00B27A74"/>
    <w:rsid w:val="00B27E41"/>
    <w:rsid w:val="00B3191E"/>
    <w:rsid w:val="00B329E7"/>
    <w:rsid w:val="00B33C2C"/>
    <w:rsid w:val="00B3516B"/>
    <w:rsid w:val="00B3569B"/>
    <w:rsid w:val="00B37C1D"/>
    <w:rsid w:val="00B40860"/>
    <w:rsid w:val="00B41C37"/>
    <w:rsid w:val="00B453AA"/>
    <w:rsid w:val="00B45B4A"/>
    <w:rsid w:val="00B45E07"/>
    <w:rsid w:val="00B46A42"/>
    <w:rsid w:val="00B47F87"/>
    <w:rsid w:val="00B50B23"/>
    <w:rsid w:val="00B50B44"/>
    <w:rsid w:val="00B5199B"/>
    <w:rsid w:val="00B51D18"/>
    <w:rsid w:val="00B52195"/>
    <w:rsid w:val="00B52538"/>
    <w:rsid w:val="00B527F5"/>
    <w:rsid w:val="00B5442D"/>
    <w:rsid w:val="00B545A5"/>
    <w:rsid w:val="00B54B87"/>
    <w:rsid w:val="00B5543D"/>
    <w:rsid w:val="00B6120A"/>
    <w:rsid w:val="00B615E1"/>
    <w:rsid w:val="00B61C2B"/>
    <w:rsid w:val="00B620BA"/>
    <w:rsid w:val="00B621AC"/>
    <w:rsid w:val="00B62948"/>
    <w:rsid w:val="00B63DBD"/>
    <w:rsid w:val="00B64241"/>
    <w:rsid w:val="00B64F66"/>
    <w:rsid w:val="00B65345"/>
    <w:rsid w:val="00B6580A"/>
    <w:rsid w:val="00B672F2"/>
    <w:rsid w:val="00B673E2"/>
    <w:rsid w:val="00B67D95"/>
    <w:rsid w:val="00B67FF2"/>
    <w:rsid w:val="00B70871"/>
    <w:rsid w:val="00B71032"/>
    <w:rsid w:val="00B71260"/>
    <w:rsid w:val="00B72165"/>
    <w:rsid w:val="00B722A3"/>
    <w:rsid w:val="00B74759"/>
    <w:rsid w:val="00B74E13"/>
    <w:rsid w:val="00B765D1"/>
    <w:rsid w:val="00B775D1"/>
    <w:rsid w:val="00B8047C"/>
    <w:rsid w:val="00B80659"/>
    <w:rsid w:val="00B80ECC"/>
    <w:rsid w:val="00B810D3"/>
    <w:rsid w:val="00B81AC6"/>
    <w:rsid w:val="00B83A99"/>
    <w:rsid w:val="00B84274"/>
    <w:rsid w:val="00B84296"/>
    <w:rsid w:val="00B84963"/>
    <w:rsid w:val="00B86B8B"/>
    <w:rsid w:val="00B91628"/>
    <w:rsid w:val="00B9280C"/>
    <w:rsid w:val="00B93381"/>
    <w:rsid w:val="00B942A2"/>
    <w:rsid w:val="00B94947"/>
    <w:rsid w:val="00B949A9"/>
    <w:rsid w:val="00B94B3C"/>
    <w:rsid w:val="00B95D48"/>
    <w:rsid w:val="00B97973"/>
    <w:rsid w:val="00B97B1C"/>
    <w:rsid w:val="00BA0A83"/>
    <w:rsid w:val="00BA2B02"/>
    <w:rsid w:val="00BA370F"/>
    <w:rsid w:val="00BA40B1"/>
    <w:rsid w:val="00BA4854"/>
    <w:rsid w:val="00BA63B8"/>
    <w:rsid w:val="00BA72E1"/>
    <w:rsid w:val="00BA776F"/>
    <w:rsid w:val="00BA7A1F"/>
    <w:rsid w:val="00BB06D1"/>
    <w:rsid w:val="00BB1E78"/>
    <w:rsid w:val="00BB2D08"/>
    <w:rsid w:val="00BB3111"/>
    <w:rsid w:val="00BB33C2"/>
    <w:rsid w:val="00BB3DAC"/>
    <w:rsid w:val="00BB5A41"/>
    <w:rsid w:val="00BC1E34"/>
    <w:rsid w:val="00BC23ED"/>
    <w:rsid w:val="00BC25CF"/>
    <w:rsid w:val="00BC25ED"/>
    <w:rsid w:val="00BC2863"/>
    <w:rsid w:val="00BC2F7D"/>
    <w:rsid w:val="00BC52F0"/>
    <w:rsid w:val="00BC58A6"/>
    <w:rsid w:val="00BC5CB1"/>
    <w:rsid w:val="00BC7364"/>
    <w:rsid w:val="00BC7638"/>
    <w:rsid w:val="00BC7F23"/>
    <w:rsid w:val="00BD02DE"/>
    <w:rsid w:val="00BD0451"/>
    <w:rsid w:val="00BD1D2F"/>
    <w:rsid w:val="00BD1E12"/>
    <w:rsid w:val="00BD1FD9"/>
    <w:rsid w:val="00BD2B8E"/>
    <w:rsid w:val="00BD2D98"/>
    <w:rsid w:val="00BD5769"/>
    <w:rsid w:val="00BD64C7"/>
    <w:rsid w:val="00BD6753"/>
    <w:rsid w:val="00BD6DE5"/>
    <w:rsid w:val="00BE169D"/>
    <w:rsid w:val="00BE1B70"/>
    <w:rsid w:val="00BE241E"/>
    <w:rsid w:val="00BE2B53"/>
    <w:rsid w:val="00BE367E"/>
    <w:rsid w:val="00BE38A3"/>
    <w:rsid w:val="00BE5E0F"/>
    <w:rsid w:val="00BE614A"/>
    <w:rsid w:val="00BE67B1"/>
    <w:rsid w:val="00BE711C"/>
    <w:rsid w:val="00BE7212"/>
    <w:rsid w:val="00BE745F"/>
    <w:rsid w:val="00BE74DC"/>
    <w:rsid w:val="00BE76D3"/>
    <w:rsid w:val="00BF08B1"/>
    <w:rsid w:val="00BF0B59"/>
    <w:rsid w:val="00BF0F9B"/>
    <w:rsid w:val="00BF17D7"/>
    <w:rsid w:val="00BF1E79"/>
    <w:rsid w:val="00BF20B9"/>
    <w:rsid w:val="00BF2AA7"/>
    <w:rsid w:val="00BF59E9"/>
    <w:rsid w:val="00BF5CEC"/>
    <w:rsid w:val="00BF6939"/>
    <w:rsid w:val="00BF6FE1"/>
    <w:rsid w:val="00BF703C"/>
    <w:rsid w:val="00BF72A6"/>
    <w:rsid w:val="00BF7629"/>
    <w:rsid w:val="00C014B3"/>
    <w:rsid w:val="00C01B2C"/>
    <w:rsid w:val="00C02918"/>
    <w:rsid w:val="00C0296D"/>
    <w:rsid w:val="00C03708"/>
    <w:rsid w:val="00C0444D"/>
    <w:rsid w:val="00C05890"/>
    <w:rsid w:val="00C07434"/>
    <w:rsid w:val="00C07701"/>
    <w:rsid w:val="00C101C9"/>
    <w:rsid w:val="00C1050B"/>
    <w:rsid w:val="00C107E9"/>
    <w:rsid w:val="00C10DBE"/>
    <w:rsid w:val="00C1500E"/>
    <w:rsid w:val="00C150C5"/>
    <w:rsid w:val="00C152F5"/>
    <w:rsid w:val="00C15F0B"/>
    <w:rsid w:val="00C1619F"/>
    <w:rsid w:val="00C1720B"/>
    <w:rsid w:val="00C207EE"/>
    <w:rsid w:val="00C20BD9"/>
    <w:rsid w:val="00C225BB"/>
    <w:rsid w:val="00C24BAB"/>
    <w:rsid w:val="00C26DAF"/>
    <w:rsid w:val="00C300FC"/>
    <w:rsid w:val="00C305AF"/>
    <w:rsid w:val="00C308C2"/>
    <w:rsid w:val="00C30A5A"/>
    <w:rsid w:val="00C31350"/>
    <w:rsid w:val="00C31523"/>
    <w:rsid w:val="00C315E8"/>
    <w:rsid w:val="00C31CF5"/>
    <w:rsid w:val="00C31F89"/>
    <w:rsid w:val="00C31FC0"/>
    <w:rsid w:val="00C32114"/>
    <w:rsid w:val="00C3284E"/>
    <w:rsid w:val="00C354D1"/>
    <w:rsid w:val="00C36CBC"/>
    <w:rsid w:val="00C37914"/>
    <w:rsid w:val="00C4007A"/>
    <w:rsid w:val="00C40309"/>
    <w:rsid w:val="00C409A5"/>
    <w:rsid w:val="00C41B13"/>
    <w:rsid w:val="00C41D26"/>
    <w:rsid w:val="00C42C96"/>
    <w:rsid w:val="00C42EFB"/>
    <w:rsid w:val="00C43406"/>
    <w:rsid w:val="00C443CA"/>
    <w:rsid w:val="00C46320"/>
    <w:rsid w:val="00C466CD"/>
    <w:rsid w:val="00C54487"/>
    <w:rsid w:val="00C54499"/>
    <w:rsid w:val="00C56130"/>
    <w:rsid w:val="00C56872"/>
    <w:rsid w:val="00C572F9"/>
    <w:rsid w:val="00C60BB9"/>
    <w:rsid w:val="00C61231"/>
    <w:rsid w:val="00C62B06"/>
    <w:rsid w:val="00C62D33"/>
    <w:rsid w:val="00C6328B"/>
    <w:rsid w:val="00C634C4"/>
    <w:rsid w:val="00C65036"/>
    <w:rsid w:val="00C65134"/>
    <w:rsid w:val="00C66CE3"/>
    <w:rsid w:val="00C72559"/>
    <w:rsid w:val="00C72D39"/>
    <w:rsid w:val="00C73AEA"/>
    <w:rsid w:val="00C7417C"/>
    <w:rsid w:val="00C742C6"/>
    <w:rsid w:val="00C74FAC"/>
    <w:rsid w:val="00C75400"/>
    <w:rsid w:val="00C76459"/>
    <w:rsid w:val="00C76D7F"/>
    <w:rsid w:val="00C76D88"/>
    <w:rsid w:val="00C773AF"/>
    <w:rsid w:val="00C77C13"/>
    <w:rsid w:val="00C77FCD"/>
    <w:rsid w:val="00C801CF"/>
    <w:rsid w:val="00C813D1"/>
    <w:rsid w:val="00C82253"/>
    <w:rsid w:val="00C83A83"/>
    <w:rsid w:val="00C83E6F"/>
    <w:rsid w:val="00C84A98"/>
    <w:rsid w:val="00C86285"/>
    <w:rsid w:val="00C87411"/>
    <w:rsid w:val="00C87B11"/>
    <w:rsid w:val="00C90B3C"/>
    <w:rsid w:val="00C91FA9"/>
    <w:rsid w:val="00C9201D"/>
    <w:rsid w:val="00C9216F"/>
    <w:rsid w:val="00C92895"/>
    <w:rsid w:val="00C93B66"/>
    <w:rsid w:val="00C93F85"/>
    <w:rsid w:val="00C94871"/>
    <w:rsid w:val="00C94B60"/>
    <w:rsid w:val="00C965CB"/>
    <w:rsid w:val="00C97046"/>
    <w:rsid w:val="00C9771E"/>
    <w:rsid w:val="00C97AF6"/>
    <w:rsid w:val="00CA0569"/>
    <w:rsid w:val="00CA1B20"/>
    <w:rsid w:val="00CA2830"/>
    <w:rsid w:val="00CA35C1"/>
    <w:rsid w:val="00CA3E49"/>
    <w:rsid w:val="00CA4A99"/>
    <w:rsid w:val="00CA503F"/>
    <w:rsid w:val="00CA6653"/>
    <w:rsid w:val="00CA680E"/>
    <w:rsid w:val="00CA748B"/>
    <w:rsid w:val="00CA74C7"/>
    <w:rsid w:val="00CA7C3E"/>
    <w:rsid w:val="00CA7E0E"/>
    <w:rsid w:val="00CB0E00"/>
    <w:rsid w:val="00CB1A20"/>
    <w:rsid w:val="00CB247B"/>
    <w:rsid w:val="00CB32A4"/>
    <w:rsid w:val="00CB35A6"/>
    <w:rsid w:val="00CB3B98"/>
    <w:rsid w:val="00CB4A85"/>
    <w:rsid w:val="00CB51A4"/>
    <w:rsid w:val="00CB5B6F"/>
    <w:rsid w:val="00CB6D5F"/>
    <w:rsid w:val="00CB7D85"/>
    <w:rsid w:val="00CC1138"/>
    <w:rsid w:val="00CC2FF3"/>
    <w:rsid w:val="00CC305A"/>
    <w:rsid w:val="00CC39A7"/>
    <w:rsid w:val="00CC3E0B"/>
    <w:rsid w:val="00CC4B77"/>
    <w:rsid w:val="00CC61B0"/>
    <w:rsid w:val="00CC69F6"/>
    <w:rsid w:val="00CC7BFC"/>
    <w:rsid w:val="00CC7D57"/>
    <w:rsid w:val="00CD0141"/>
    <w:rsid w:val="00CD15DC"/>
    <w:rsid w:val="00CD172A"/>
    <w:rsid w:val="00CD2217"/>
    <w:rsid w:val="00CD2B44"/>
    <w:rsid w:val="00CD3674"/>
    <w:rsid w:val="00CE07E5"/>
    <w:rsid w:val="00CE0991"/>
    <w:rsid w:val="00CE0A95"/>
    <w:rsid w:val="00CE0AFF"/>
    <w:rsid w:val="00CE158E"/>
    <w:rsid w:val="00CE1A8B"/>
    <w:rsid w:val="00CE1B3F"/>
    <w:rsid w:val="00CE24CE"/>
    <w:rsid w:val="00CE2D34"/>
    <w:rsid w:val="00CE3A44"/>
    <w:rsid w:val="00CE3B1B"/>
    <w:rsid w:val="00CE4F62"/>
    <w:rsid w:val="00CE64F8"/>
    <w:rsid w:val="00CE65E0"/>
    <w:rsid w:val="00CE72E1"/>
    <w:rsid w:val="00CE7951"/>
    <w:rsid w:val="00CF07B9"/>
    <w:rsid w:val="00CF1EDB"/>
    <w:rsid w:val="00CF281B"/>
    <w:rsid w:val="00CF467E"/>
    <w:rsid w:val="00CF4BE3"/>
    <w:rsid w:val="00CF4F52"/>
    <w:rsid w:val="00CF5D39"/>
    <w:rsid w:val="00CF638D"/>
    <w:rsid w:val="00D0048D"/>
    <w:rsid w:val="00D00A43"/>
    <w:rsid w:val="00D01172"/>
    <w:rsid w:val="00D02CC9"/>
    <w:rsid w:val="00D02FCD"/>
    <w:rsid w:val="00D03D7C"/>
    <w:rsid w:val="00D049C4"/>
    <w:rsid w:val="00D04B44"/>
    <w:rsid w:val="00D04F17"/>
    <w:rsid w:val="00D0541C"/>
    <w:rsid w:val="00D05D3A"/>
    <w:rsid w:val="00D062A8"/>
    <w:rsid w:val="00D1161E"/>
    <w:rsid w:val="00D11EC1"/>
    <w:rsid w:val="00D12DD0"/>
    <w:rsid w:val="00D12E1A"/>
    <w:rsid w:val="00D13110"/>
    <w:rsid w:val="00D1755C"/>
    <w:rsid w:val="00D17ED8"/>
    <w:rsid w:val="00D21363"/>
    <w:rsid w:val="00D218AC"/>
    <w:rsid w:val="00D2374D"/>
    <w:rsid w:val="00D24EB0"/>
    <w:rsid w:val="00D269AA"/>
    <w:rsid w:val="00D26AA3"/>
    <w:rsid w:val="00D27A0E"/>
    <w:rsid w:val="00D30E13"/>
    <w:rsid w:val="00D30EDC"/>
    <w:rsid w:val="00D31168"/>
    <w:rsid w:val="00D31242"/>
    <w:rsid w:val="00D315C9"/>
    <w:rsid w:val="00D321E1"/>
    <w:rsid w:val="00D32496"/>
    <w:rsid w:val="00D326D5"/>
    <w:rsid w:val="00D327A1"/>
    <w:rsid w:val="00D3430E"/>
    <w:rsid w:val="00D34534"/>
    <w:rsid w:val="00D34BCB"/>
    <w:rsid w:val="00D34E7A"/>
    <w:rsid w:val="00D37A38"/>
    <w:rsid w:val="00D40204"/>
    <w:rsid w:val="00D403C9"/>
    <w:rsid w:val="00D4297A"/>
    <w:rsid w:val="00D43D5A"/>
    <w:rsid w:val="00D44D12"/>
    <w:rsid w:val="00D45EB4"/>
    <w:rsid w:val="00D46AA6"/>
    <w:rsid w:val="00D477D9"/>
    <w:rsid w:val="00D4798A"/>
    <w:rsid w:val="00D50CB2"/>
    <w:rsid w:val="00D51F7E"/>
    <w:rsid w:val="00D52126"/>
    <w:rsid w:val="00D5371F"/>
    <w:rsid w:val="00D55131"/>
    <w:rsid w:val="00D57970"/>
    <w:rsid w:val="00D57DB9"/>
    <w:rsid w:val="00D600BB"/>
    <w:rsid w:val="00D619E0"/>
    <w:rsid w:val="00D620EC"/>
    <w:rsid w:val="00D6465D"/>
    <w:rsid w:val="00D6583B"/>
    <w:rsid w:val="00D66036"/>
    <w:rsid w:val="00D67CBB"/>
    <w:rsid w:val="00D70334"/>
    <w:rsid w:val="00D70DDE"/>
    <w:rsid w:val="00D72170"/>
    <w:rsid w:val="00D723F9"/>
    <w:rsid w:val="00D73441"/>
    <w:rsid w:val="00D73F61"/>
    <w:rsid w:val="00D75674"/>
    <w:rsid w:val="00D764B8"/>
    <w:rsid w:val="00D7702E"/>
    <w:rsid w:val="00D77407"/>
    <w:rsid w:val="00D808BF"/>
    <w:rsid w:val="00D83B77"/>
    <w:rsid w:val="00D84575"/>
    <w:rsid w:val="00D84D3C"/>
    <w:rsid w:val="00D853DF"/>
    <w:rsid w:val="00D85504"/>
    <w:rsid w:val="00D86B8E"/>
    <w:rsid w:val="00D86E02"/>
    <w:rsid w:val="00D87440"/>
    <w:rsid w:val="00D87703"/>
    <w:rsid w:val="00D901E3"/>
    <w:rsid w:val="00D90A7B"/>
    <w:rsid w:val="00D90FF7"/>
    <w:rsid w:val="00D92AF6"/>
    <w:rsid w:val="00D96508"/>
    <w:rsid w:val="00D975B0"/>
    <w:rsid w:val="00D97CF5"/>
    <w:rsid w:val="00D97F38"/>
    <w:rsid w:val="00DA049F"/>
    <w:rsid w:val="00DA05FD"/>
    <w:rsid w:val="00DA0D45"/>
    <w:rsid w:val="00DA1B57"/>
    <w:rsid w:val="00DA2002"/>
    <w:rsid w:val="00DA21F5"/>
    <w:rsid w:val="00DA227B"/>
    <w:rsid w:val="00DA30A4"/>
    <w:rsid w:val="00DA385F"/>
    <w:rsid w:val="00DA3966"/>
    <w:rsid w:val="00DA499A"/>
    <w:rsid w:val="00DA4E19"/>
    <w:rsid w:val="00DA6EC6"/>
    <w:rsid w:val="00DA72E2"/>
    <w:rsid w:val="00DB0D20"/>
    <w:rsid w:val="00DB2953"/>
    <w:rsid w:val="00DB4D1D"/>
    <w:rsid w:val="00DB586C"/>
    <w:rsid w:val="00DB5B6D"/>
    <w:rsid w:val="00DB7852"/>
    <w:rsid w:val="00DB7DFD"/>
    <w:rsid w:val="00DC0E74"/>
    <w:rsid w:val="00DC107F"/>
    <w:rsid w:val="00DC1157"/>
    <w:rsid w:val="00DC2517"/>
    <w:rsid w:val="00DC2998"/>
    <w:rsid w:val="00DC2D70"/>
    <w:rsid w:val="00DC2EC5"/>
    <w:rsid w:val="00DC36C6"/>
    <w:rsid w:val="00DC5301"/>
    <w:rsid w:val="00DC6458"/>
    <w:rsid w:val="00DC6987"/>
    <w:rsid w:val="00DC69FE"/>
    <w:rsid w:val="00DD11A0"/>
    <w:rsid w:val="00DD1D2A"/>
    <w:rsid w:val="00DD2A8B"/>
    <w:rsid w:val="00DD32AA"/>
    <w:rsid w:val="00DD35BD"/>
    <w:rsid w:val="00DD36F7"/>
    <w:rsid w:val="00DD3D38"/>
    <w:rsid w:val="00DE0B85"/>
    <w:rsid w:val="00DE13B3"/>
    <w:rsid w:val="00DE315B"/>
    <w:rsid w:val="00DE33E9"/>
    <w:rsid w:val="00DE3F52"/>
    <w:rsid w:val="00DE6C92"/>
    <w:rsid w:val="00DE6DDD"/>
    <w:rsid w:val="00DE7B90"/>
    <w:rsid w:val="00DF211F"/>
    <w:rsid w:val="00DF31F0"/>
    <w:rsid w:val="00DF404C"/>
    <w:rsid w:val="00DF45C3"/>
    <w:rsid w:val="00DF583A"/>
    <w:rsid w:val="00DF592E"/>
    <w:rsid w:val="00E00385"/>
    <w:rsid w:val="00E00515"/>
    <w:rsid w:val="00E01740"/>
    <w:rsid w:val="00E02A86"/>
    <w:rsid w:val="00E03D60"/>
    <w:rsid w:val="00E0653F"/>
    <w:rsid w:val="00E06F45"/>
    <w:rsid w:val="00E10411"/>
    <w:rsid w:val="00E10592"/>
    <w:rsid w:val="00E1077C"/>
    <w:rsid w:val="00E1348F"/>
    <w:rsid w:val="00E1358B"/>
    <w:rsid w:val="00E143EF"/>
    <w:rsid w:val="00E15409"/>
    <w:rsid w:val="00E157B4"/>
    <w:rsid w:val="00E16381"/>
    <w:rsid w:val="00E17B1B"/>
    <w:rsid w:val="00E21B4F"/>
    <w:rsid w:val="00E21C19"/>
    <w:rsid w:val="00E221A5"/>
    <w:rsid w:val="00E22EDF"/>
    <w:rsid w:val="00E23672"/>
    <w:rsid w:val="00E23943"/>
    <w:rsid w:val="00E23BDF"/>
    <w:rsid w:val="00E25501"/>
    <w:rsid w:val="00E25B76"/>
    <w:rsid w:val="00E25EFB"/>
    <w:rsid w:val="00E26441"/>
    <w:rsid w:val="00E26E44"/>
    <w:rsid w:val="00E3027F"/>
    <w:rsid w:val="00E31AF8"/>
    <w:rsid w:val="00E32480"/>
    <w:rsid w:val="00E333CF"/>
    <w:rsid w:val="00E34DDF"/>
    <w:rsid w:val="00E3648D"/>
    <w:rsid w:val="00E405F2"/>
    <w:rsid w:val="00E40E8E"/>
    <w:rsid w:val="00E41033"/>
    <w:rsid w:val="00E42E3C"/>
    <w:rsid w:val="00E42F77"/>
    <w:rsid w:val="00E4377D"/>
    <w:rsid w:val="00E43ED9"/>
    <w:rsid w:val="00E4468A"/>
    <w:rsid w:val="00E447D6"/>
    <w:rsid w:val="00E4578F"/>
    <w:rsid w:val="00E4632B"/>
    <w:rsid w:val="00E46A1B"/>
    <w:rsid w:val="00E46A90"/>
    <w:rsid w:val="00E47819"/>
    <w:rsid w:val="00E51C2D"/>
    <w:rsid w:val="00E52568"/>
    <w:rsid w:val="00E53190"/>
    <w:rsid w:val="00E542FA"/>
    <w:rsid w:val="00E54640"/>
    <w:rsid w:val="00E5737B"/>
    <w:rsid w:val="00E60BB5"/>
    <w:rsid w:val="00E62B84"/>
    <w:rsid w:val="00E649DD"/>
    <w:rsid w:val="00E67142"/>
    <w:rsid w:val="00E67D56"/>
    <w:rsid w:val="00E704A1"/>
    <w:rsid w:val="00E70B01"/>
    <w:rsid w:val="00E70BD9"/>
    <w:rsid w:val="00E71E4A"/>
    <w:rsid w:val="00E74616"/>
    <w:rsid w:val="00E74E59"/>
    <w:rsid w:val="00E7753C"/>
    <w:rsid w:val="00E80D90"/>
    <w:rsid w:val="00E81056"/>
    <w:rsid w:val="00E81802"/>
    <w:rsid w:val="00E81A6A"/>
    <w:rsid w:val="00E82777"/>
    <w:rsid w:val="00E8285A"/>
    <w:rsid w:val="00E834D7"/>
    <w:rsid w:val="00E83637"/>
    <w:rsid w:val="00E837EB"/>
    <w:rsid w:val="00E8423B"/>
    <w:rsid w:val="00E8583F"/>
    <w:rsid w:val="00E87736"/>
    <w:rsid w:val="00E903BB"/>
    <w:rsid w:val="00E90A26"/>
    <w:rsid w:val="00E90DA3"/>
    <w:rsid w:val="00E91A36"/>
    <w:rsid w:val="00E9288B"/>
    <w:rsid w:val="00E92A49"/>
    <w:rsid w:val="00E93ADF"/>
    <w:rsid w:val="00E955A2"/>
    <w:rsid w:val="00E95CFF"/>
    <w:rsid w:val="00E96224"/>
    <w:rsid w:val="00E9677B"/>
    <w:rsid w:val="00E97C5F"/>
    <w:rsid w:val="00EA0C8A"/>
    <w:rsid w:val="00EA0E97"/>
    <w:rsid w:val="00EA1131"/>
    <w:rsid w:val="00EA1831"/>
    <w:rsid w:val="00EA1A1C"/>
    <w:rsid w:val="00EA1ADB"/>
    <w:rsid w:val="00EA29CB"/>
    <w:rsid w:val="00EA35E7"/>
    <w:rsid w:val="00EA72AD"/>
    <w:rsid w:val="00EA7BF6"/>
    <w:rsid w:val="00EA7C48"/>
    <w:rsid w:val="00EB0505"/>
    <w:rsid w:val="00EB0506"/>
    <w:rsid w:val="00EB0B57"/>
    <w:rsid w:val="00EB1ADF"/>
    <w:rsid w:val="00EB6708"/>
    <w:rsid w:val="00EB67A0"/>
    <w:rsid w:val="00EB6E49"/>
    <w:rsid w:val="00EB7F73"/>
    <w:rsid w:val="00EC01D8"/>
    <w:rsid w:val="00EC076F"/>
    <w:rsid w:val="00EC080E"/>
    <w:rsid w:val="00EC0F05"/>
    <w:rsid w:val="00EC179A"/>
    <w:rsid w:val="00EC5C7A"/>
    <w:rsid w:val="00EC701D"/>
    <w:rsid w:val="00ED0B73"/>
    <w:rsid w:val="00ED0EDE"/>
    <w:rsid w:val="00ED0F2B"/>
    <w:rsid w:val="00ED11EE"/>
    <w:rsid w:val="00ED266E"/>
    <w:rsid w:val="00ED3397"/>
    <w:rsid w:val="00ED3735"/>
    <w:rsid w:val="00ED3D53"/>
    <w:rsid w:val="00ED4193"/>
    <w:rsid w:val="00ED4848"/>
    <w:rsid w:val="00ED6114"/>
    <w:rsid w:val="00ED62C1"/>
    <w:rsid w:val="00ED6904"/>
    <w:rsid w:val="00EE23BA"/>
    <w:rsid w:val="00EE2737"/>
    <w:rsid w:val="00EE3383"/>
    <w:rsid w:val="00EE35A3"/>
    <w:rsid w:val="00EE428D"/>
    <w:rsid w:val="00EE432F"/>
    <w:rsid w:val="00EE5654"/>
    <w:rsid w:val="00EE61B8"/>
    <w:rsid w:val="00EE641A"/>
    <w:rsid w:val="00EE704A"/>
    <w:rsid w:val="00EE78B7"/>
    <w:rsid w:val="00EF018B"/>
    <w:rsid w:val="00EF1264"/>
    <w:rsid w:val="00EF16A0"/>
    <w:rsid w:val="00EF19FC"/>
    <w:rsid w:val="00EF2308"/>
    <w:rsid w:val="00EF24AF"/>
    <w:rsid w:val="00EF2A4E"/>
    <w:rsid w:val="00EF2E73"/>
    <w:rsid w:val="00EF2EA7"/>
    <w:rsid w:val="00EF2F41"/>
    <w:rsid w:val="00EF2F63"/>
    <w:rsid w:val="00EF302F"/>
    <w:rsid w:val="00EF4486"/>
    <w:rsid w:val="00EF4991"/>
    <w:rsid w:val="00EF5163"/>
    <w:rsid w:val="00EF58BD"/>
    <w:rsid w:val="00EF7451"/>
    <w:rsid w:val="00EF7489"/>
    <w:rsid w:val="00EF79C5"/>
    <w:rsid w:val="00EF7F68"/>
    <w:rsid w:val="00F00906"/>
    <w:rsid w:val="00F00B05"/>
    <w:rsid w:val="00F02894"/>
    <w:rsid w:val="00F03112"/>
    <w:rsid w:val="00F04902"/>
    <w:rsid w:val="00F04FFC"/>
    <w:rsid w:val="00F074A1"/>
    <w:rsid w:val="00F076AB"/>
    <w:rsid w:val="00F1071C"/>
    <w:rsid w:val="00F10846"/>
    <w:rsid w:val="00F11456"/>
    <w:rsid w:val="00F122EC"/>
    <w:rsid w:val="00F125A2"/>
    <w:rsid w:val="00F13767"/>
    <w:rsid w:val="00F13844"/>
    <w:rsid w:val="00F1384C"/>
    <w:rsid w:val="00F14DE8"/>
    <w:rsid w:val="00F153B0"/>
    <w:rsid w:val="00F17058"/>
    <w:rsid w:val="00F20C3B"/>
    <w:rsid w:val="00F21DE8"/>
    <w:rsid w:val="00F23183"/>
    <w:rsid w:val="00F23BA5"/>
    <w:rsid w:val="00F23D1F"/>
    <w:rsid w:val="00F24950"/>
    <w:rsid w:val="00F2557C"/>
    <w:rsid w:val="00F25844"/>
    <w:rsid w:val="00F26ED8"/>
    <w:rsid w:val="00F27B94"/>
    <w:rsid w:val="00F31815"/>
    <w:rsid w:val="00F328CE"/>
    <w:rsid w:val="00F33DEA"/>
    <w:rsid w:val="00F361DC"/>
    <w:rsid w:val="00F36B8B"/>
    <w:rsid w:val="00F370C8"/>
    <w:rsid w:val="00F3765B"/>
    <w:rsid w:val="00F41D83"/>
    <w:rsid w:val="00F42BAB"/>
    <w:rsid w:val="00F430BA"/>
    <w:rsid w:val="00F431F3"/>
    <w:rsid w:val="00F43BE2"/>
    <w:rsid w:val="00F44E3D"/>
    <w:rsid w:val="00F45381"/>
    <w:rsid w:val="00F46386"/>
    <w:rsid w:val="00F46640"/>
    <w:rsid w:val="00F5091F"/>
    <w:rsid w:val="00F50F72"/>
    <w:rsid w:val="00F52B4B"/>
    <w:rsid w:val="00F54DB9"/>
    <w:rsid w:val="00F5523E"/>
    <w:rsid w:val="00F553B3"/>
    <w:rsid w:val="00F55D70"/>
    <w:rsid w:val="00F56367"/>
    <w:rsid w:val="00F60A72"/>
    <w:rsid w:val="00F60C48"/>
    <w:rsid w:val="00F60D35"/>
    <w:rsid w:val="00F611BE"/>
    <w:rsid w:val="00F61221"/>
    <w:rsid w:val="00F61BA3"/>
    <w:rsid w:val="00F61BF3"/>
    <w:rsid w:val="00F62759"/>
    <w:rsid w:val="00F62CAB"/>
    <w:rsid w:val="00F635FA"/>
    <w:rsid w:val="00F641DD"/>
    <w:rsid w:val="00F652C6"/>
    <w:rsid w:val="00F65A6F"/>
    <w:rsid w:val="00F65D88"/>
    <w:rsid w:val="00F662E3"/>
    <w:rsid w:val="00F66391"/>
    <w:rsid w:val="00F66B4E"/>
    <w:rsid w:val="00F67147"/>
    <w:rsid w:val="00F67DD3"/>
    <w:rsid w:val="00F710B8"/>
    <w:rsid w:val="00F71589"/>
    <w:rsid w:val="00F72C24"/>
    <w:rsid w:val="00F73824"/>
    <w:rsid w:val="00F748A1"/>
    <w:rsid w:val="00F752CC"/>
    <w:rsid w:val="00F7592F"/>
    <w:rsid w:val="00F77DA6"/>
    <w:rsid w:val="00F77DF9"/>
    <w:rsid w:val="00F80FDF"/>
    <w:rsid w:val="00F836F2"/>
    <w:rsid w:val="00F83E14"/>
    <w:rsid w:val="00F843E6"/>
    <w:rsid w:val="00F8499B"/>
    <w:rsid w:val="00F84D25"/>
    <w:rsid w:val="00F84D9B"/>
    <w:rsid w:val="00F85349"/>
    <w:rsid w:val="00F860EA"/>
    <w:rsid w:val="00F87B31"/>
    <w:rsid w:val="00F87C33"/>
    <w:rsid w:val="00F87CA1"/>
    <w:rsid w:val="00F9021C"/>
    <w:rsid w:val="00F90407"/>
    <w:rsid w:val="00F914F8"/>
    <w:rsid w:val="00F92C98"/>
    <w:rsid w:val="00F936A0"/>
    <w:rsid w:val="00F93779"/>
    <w:rsid w:val="00F93802"/>
    <w:rsid w:val="00F94752"/>
    <w:rsid w:val="00F950C1"/>
    <w:rsid w:val="00F9589C"/>
    <w:rsid w:val="00F95FAC"/>
    <w:rsid w:val="00F97309"/>
    <w:rsid w:val="00F97387"/>
    <w:rsid w:val="00FA0971"/>
    <w:rsid w:val="00FA1361"/>
    <w:rsid w:val="00FA206E"/>
    <w:rsid w:val="00FA35B0"/>
    <w:rsid w:val="00FA3877"/>
    <w:rsid w:val="00FA4368"/>
    <w:rsid w:val="00FA4507"/>
    <w:rsid w:val="00FA47C0"/>
    <w:rsid w:val="00FA488E"/>
    <w:rsid w:val="00FA5636"/>
    <w:rsid w:val="00FA56F1"/>
    <w:rsid w:val="00FA5E50"/>
    <w:rsid w:val="00FA615E"/>
    <w:rsid w:val="00FA6264"/>
    <w:rsid w:val="00FA67DA"/>
    <w:rsid w:val="00FA79E4"/>
    <w:rsid w:val="00FA7B4F"/>
    <w:rsid w:val="00FA7C5C"/>
    <w:rsid w:val="00FA7DC0"/>
    <w:rsid w:val="00FB0315"/>
    <w:rsid w:val="00FB0C7E"/>
    <w:rsid w:val="00FB150F"/>
    <w:rsid w:val="00FB209A"/>
    <w:rsid w:val="00FB49BE"/>
    <w:rsid w:val="00FB6600"/>
    <w:rsid w:val="00FB78FC"/>
    <w:rsid w:val="00FB7CDA"/>
    <w:rsid w:val="00FC027B"/>
    <w:rsid w:val="00FC0C3F"/>
    <w:rsid w:val="00FC0F8E"/>
    <w:rsid w:val="00FC27E3"/>
    <w:rsid w:val="00FC28A6"/>
    <w:rsid w:val="00FC2ACC"/>
    <w:rsid w:val="00FC3E02"/>
    <w:rsid w:val="00FC5E5E"/>
    <w:rsid w:val="00FC64A4"/>
    <w:rsid w:val="00FC64CD"/>
    <w:rsid w:val="00FC6BC2"/>
    <w:rsid w:val="00FD02A0"/>
    <w:rsid w:val="00FD2613"/>
    <w:rsid w:val="00FD275C"/>
    <w:rsid w:val="00FD2987"/>
    <w:rsid w:val="00FD2C16"/>
    <w:rsid w:val="00FD31ED"/>
    <w:rsid w:val="00FD3BE8"/>
    <w:rsid w:val="00FD3D49"/>
    <w:rsid w:val="00FD4F20"/>
    <w:rsid w:val="00FD4F3A"/>
    <w:rsid w:val="00FD5562"/>
    <w:rsid w:val="00FD5BDE"/>
    <w:rsid w:val="00FD623E"/>
    <w:rsid w:val="00FD63B6"/>
    <w:rsid w:val="00FD6D87"/>
    <w:rsid w:val="00FE00CE"/>
    <w:rsid w:val="00FE02C6"/>
    <w:rsid w:val="00FE050A"/>
    <w:rsid w:val="00FE0ADC"/>
    <w:rsid w:val="00FE0B48"/>
    <w:rsid w:val="00FE211F"/>
    <w:rsid w:val="00FE2346"/>
    <w:rsid w:val="00FE256D"/>
    <w:rsid w:val="00FE2E1A"/>
    <w:rsid w:val="00FE2E92"/>
    <w:rsid w:val="00FE3882"/>
    <w:rsid w:val="00FE39AD"/>
    <w:rsid w:val="00FE4D7D"/>
    <w:rsid w:val="00FE6673"/>
    <w:rsid w:val="00FE7565"/>
    <w:rsid w:val="00FF2115"/>
    <w:rsid w:val="00FF2BE1"/>
    <w:rsid w:val="00FF304F"/>
    <w:rsid w:val="00FF3A59"/>
    <w:rsid w:val="00FF42A1"/>
    <w:rsid w:val="00FF5DAE"/>
    <w:rsid w:val="00FF6AAA"/>
    <w:rsid w:val="038C27DF"/>
    <w:rsid w:val="04BF0CD8"/>
    <w:rsid w:val="05733845"/>
    <w:rsid w:val="06E8133B"/>
    <w:rsid w:val="0AA84B15"/>
    <w:rsid w:val="0E212F12"/>
    <w:rsid w:val="10A00380"/>
    <w:rsid w:val="11DF131B"/>
    <w:rsid w:val="12511F88"/>
    <w:rsid w:val="16016296"/>
    <w:rsid w:val="18102F04"/>
    <w:rsid w:val="184B4904"/>
    <w:rsid w:val="198B03BF"/>
    <w:rsid w:val="1A4025C5"/>
    <w:rsid w:val="1ACB408C"/>
    <w:rsid w:val="1B7551FB"/>
    <w:rsid w:val="1CA41524"/>
    <w:rsid w:val="1DE449B8"/>
    <w:rsid w:val="20380257"/>
    <w:rsid w:val="22C85914"/>
    <w:rsid w:val="23463069"/>
    <w:rsid w:val="24243E57"/>
    <w:rsid w:val="253D18A5"/>
    <w:rsid w:val="25DE0F9B"/>
    <w:rsid w:val="25EE66B9"/>
    <w:rsid w:val="2650024E"/>
    <w:rsid w:val="27054045"/>
    <w:rsid w:val="2DBF701B"/>
    <w:rsid w:val="2DEE0966"/>
    <w:rsid w:val="2E8513A4"/>
    <w:rsid w:val="30F233C0"/>
    <w:rsid w:val="347A0A28"/>
    <w:rsid w:val="34B820D9"/>
    <w:rsid w:val="36130910"/>
    <w:rsid w:val="36D72A86"/>
    <w:rsid w:val="3A312AA9"/>
    <w:rsid w:val="3A4A190D"/>
    <w:rsid w:val="3C137A5E"/>
    <w:rsid w:val="40B64761"/>
    <w:rsid w:val="4339626D"/>
    <w:rsid w:val="43474E8F"/>
    <w:rsid w:val="45C2008E"/>
    <w:rsid w:val="49DE42B9"/>
    <w:rsid w:val="4AE714CE"/>
    <w:rsid w:val="4BD00549"/>
    <w:rsid w:val="54296A13"/>
    <w:rsid w:val="58D2028C"/>
    <w:rsid w:val="59887039"/>
    <w:rsid w:val="5DC018F6"/>
    <w:rsid w:val="5E1F1DFA"/>
    <w:rsid w:val="5E5C6E08"/>
    <w:rsid w:val="5E96206A"/>
    <w:rsid w:val="60A646A9"/>
    <w:rsid w:val="62220057"/>
    <w:rsid w:val="63BF1B65"/>
    <w:rsid w:val="63E36D90"/>
    <w:rsid w:val="64085818"/>
    <w:rsid w:val="69061B58"/>
    <w:rsid w:val="6974567E"/>
    <w:rsid w:val="69E82B83"/>
    <w:rsid w:val="6D206C6A"/>
    <w:rsid w:val="6D26194E"/>
    <w:rsid w:val="718431FF"/>
    <w:rsid w:val="75F94E45"/>
    <w:rsid w:val="787C4C45"/>
    <w:rsid w:val="79A110AD"/>
    <w:rsid w:val="79E875CE"/>
    <w:rsid w:val="7ADD255A"/>
    <w:rsid w:val="7B9B79D4"/>
    <w:rsid w:val="7D8D1A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0" w:semiHidden="0" w:name="Normal Indent" w:locked="1"/>
    <w:lsdException w:uiPriority="99" w:name="footnote text" w:locked="1"/>
    <w:lsdException w:qFormat="1" w:unhideWhenUsed="0" w:uiPriority="99" w:semiHidden="0" w:name="annotation text"/>
    <w:lsdException w:qFormat="1" w:uiPriority="0"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qFormat="1" w:uiPriority="99" w:semiHidden="0" w:name="Body Text" w:locked="1"/>
    <w:lsdException w:qFormat="1" w:uiPriority="99"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qFormat="1" w:unhideWhenUsed="0" w:uiPriority="0"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qFormat="1"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ocked="1"/>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semiHidden="0" w:name="Balloon Text"/>
    <w:lsdException w:qFormat="1" w:unhideWhenUsed="0" w:uiPriority="5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0">
    <w:name w:val="Default Paragraph Font"/>
    <w:semiHidden/>
    <w:unhideWhenUsed/>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link w:val="42"/>
    <w:qFormat/>
    <w:locked/>
    <w:uiPriority w:val="0"/>
    <w:pPr>
      <w:spacing w:line="360" w:lineRule="auto"/>
      <w:ind w:firstLine="200" w:firstLineChars="200"/>
    </w:pPr>
    <w:rPr>
      <w:rFonts w:ascii="FangSong_GB2312" w:eastAsia="FangSong_GB2312"/>
      <w:sz w:val="28"/>
      <w:szCs w:val="20"/>
    </w:rPr>
  </w:style>
  <w:style w:type="paragraph" w:styleId="3">
    <w:name w:val="Document Map"/>
    <w:basedOn w:val="1"/>
    <w:link w:val="57"/>
    <w:semiHidden/>
    <w:unhideWhenUsed/>
    <w:locked/>
    <w:uiPriority w:val="99"/>
    <w:rPr>
      <w:rFonts w:ascii="宋体"/>
      <w:sz w:val="18"/>
      <w:szCs w:val="18"/>
    </w:rPr>
  </w:style>
  <w:style w:type="paragraph" w:styleId="4">
    <w:name w:val="annotation text"/>
    <w:basedOn w:val="1"/>
    <w:link w:val="27"/>
    <w:qFormat/>
    <w:uiPriority w:val="99"/>
    <w:pPr>
      <w:jc w:val="left"/>
    </w:pPr>
  </w:style>
  <w:style w:type="paragraph" w:styleId="5">
    <w:name w:val="Body Text"/>
    <w:basedOn w:val="1"/>
    <w:link w:val="29"/>
    <w:unhideWhenUsed/>
    <w:qFormat/>
    <w:locked/>
    <w:uiPriority w:val="99"/>
    <w:pPr>
      <w:spacing w:after="120"/>
    </w:pPr>
  </w:style>
  <w:style w:type="paragraph" w:styleId="6">
    <w:name w:val="Body Text Indent"/>
    <w:basedOn w:val="1"/>
    <w:link w:val="45"/>
    <w:unhideWhenUsed/>
    <w:qFormat/>
    <w:locked/>
    <w:uiPriority w:val="99"/>
    <w:pPr>
      <w:spacing w:after="120"/>
      <w:ind w:left="420" w:leftChars="200"/>
    </w:pPr>
  </w:style>
  <w:style w:type="paragraph" w:styleId="7">
    <w:name w:val="Plain Text"/>
    <w:basedOn w:val="1"/>
    <w:link w:val="49"/>
    <w:qFormat/>
    <w:locked/>
    <w:uiPriority w:val="99"/>
    <w:pPr>
      <w:spacing w:line="360" w:lineRule="auto"/>
      <w:ind w:firstLine="200" w:firstLineChars="200"/>
    </w:pPr>
    <w:rPr>
      <w:rFonts w:ascii="宋体" w:hAnsi="Courier New"/>
    </w:rPr>
  </w:style>
  <w:style w:type="paragraph" w:styleId="8">
    <w:name w:val="Body Text Indent 2"/>
    <w:basedOn w:val="1"/>
    <w:link w:val="28"/>
    <w:qFormat/>
    <w:uiPriority w:val="99"/>
    <w:pPr>
      <w:spacing w:line="360" w:lineRule="auto"/>
      <w:ind w:firstLine="200" w:firstLineChars="200"/>
    </w:pPr>
    <w:rPr>
      <w:sz w:val="28"/>
    </w:rPr>
  </w:style>
  <w:style w:type="paragraph" w:styleId="9">
    <w:name w:val="Balloon Text"/>
    <w:basedOn w:val="1"/>
    <w:link w:val="25"/>
    <w:qFormat/>
    <w:uiPriority w:val="0"/>
    <w:rPr>
      <w:sz w:val="18"/>
      <w:szCs w:val="18"/>
    </w:rPr>
  </w:style>
  <w:style w:type="paragraph" w:styleId="10">
    <w:name w:val="footer"/>
    <w:basedOn w:val="1"/>
    <w:link w:val="24"/>
    <w:unhideWhenUsed/>
    <w:qFormat/>
    <w:locked/>
    <w:uiPriority w:val="99"/>
    <w:pPr>
      <w:tabs>
        <w:tab w:val="center" w:pos="4153"/>
        <w:tab w:val="right" w:pos="8306"/>
      </w:tabs>
      <w:snapToGrid w:val="0"/>
      <w:jc w:val="left"/>
    </w:pPr>
    <w:rPr>
      <w:sz w:val="18"/>
      <w:szCs w:val="18"/>
    </w:rPr>
  </w:style>
  <w:style w:type="paragraph" w:styleId="11">
    <w:name w:val="header"/>
    <w:basedOn w:val="1"/>
    <w:link w:val="39"/>
    <w:unhideWhenUsed/>
    <w:qFormat/>
    <w:locked/>
    <w:uiPriority w:val="0"/>
    <w:pPr>
      <w:pBdr>
        <w:bottom w:val="single" w:color="auto" w:sz="6" w:space="1"/>
      </w:pBdr>
      <w:tabs>
        <w:tab w:val="center" w:pos="4153"/>
        <w:tab w:val="right" w:pos="8306"/>
      </w:tabs>
      <w:snapToGrid w:val="0"/>
      <w:jc w:val="center"/>
    </w:pPr>
    <w:rPr>
      <w:sz w:val="18"/>
      <w:szCs w:val="18"/>
    </w:rPr>
  </w:style>
  <w:style w:type="paragraph" w:styleId="12">
    <w:name w:val="List"/>
    <w:basedOn w:val="1"/>
    <w:semiHidden/>
    <w:unhideWhenUsed/>
    <w:qFormat/>
    <w:locked/>
    <w:uiPriority w:val="99"/>
    <w:pPr>
      <w:ind w:left="200" w:hanging="200" w:hangingChars="200"/>
      <w:contextualSpacing/>
    </w:pPr>
  </w:style>
  <w:style w:type="paragraph" w:styleId="13">
    <w:name w:val="Body Text Indent 3"/>
    <w:basedOn w:val="1"/>
    <w:link w:val="51"/>
    <w:semiHidden/>
    <w:unhideWhenUsed/>
    <w:qFormat/>
    <w:locked/>
    <w:uiPriority w:val="99"/>
    <w:pPr>
      <w:spacing w:after="120"/>
      <w:ind w:left="420" w:leftChars="200"/>
    </w:pPr>
    <w:rPr>
      <w:sz w:val="16"/>
      <w:szCs w:val="16"/>
    </w:rPr>
  </w:style>
  <w:style w:type="paragraph" w:styleId="14">
    <w:name w:val="HTML Preformatted"/>
    <w:basedOn w:val="1"/>
    <w:link w:val="35"/>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5">
    <w:name w:val="Normal (Web)"/>
    <w:basedOn w:val="1"/>
    <w:link w:val="41"/>
    <w:qFormat/>
    <w:locked/>
    <w:uiPriority w:val="0"/>
    <w:pPr>
      <w:widowControl/>
      <w:spacing w:before="100" w:beforeAutospacing="1" w:after="100" w:afterAutospacing="1"/>
      <w:jc w:val="left"/>
    </w:pPr>
    <w:rPr>
      <w:rFonts w:ascii="宋体" w:hAnsi="宋体"/>
      <w:kern w:val="0"/>
      <w:sz w:val="24"/>
    </w:rPr>
  </w:style>
  <w:style w:type="paragraph" w:styleId="16">
    <w:name w:val="annotation subject"/>
    <w:basedOn w:val="4"/>
    <w:next w:val="4"/>
    <w:link w:val="26"/>
    <w:semiHidden/>
    <w:qFormat/>
    <w:uiPriority w:val="99"/>
    <w:rPr>
      <w:b/>
      <w:bCs/>
    </w:rPr>
  </w:style>
  <w:style w:type="paragraph" w:styleId="17">
    <w:name w:val="Body Text First Indent 2"/>
    <w:basedOn w:val="6"/>
    <w:link w:val="53"/>
    <w:qFormat/>
    <w:locked/>
    <w:uiPriority w:val="0"/>
    <w:pPr>
      <w:ind w:firstLine="420" w:firstLineChars="200"/>
    </w:p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1">
    <w:name w:val="page number"/>
    <w:basedOn w:val="20"/>
    <w:qFormat/>
    <w:locked/>
    <w:uiPriority w:val="0"/>
  </w:style>
  <w:style w:type="character" w:styleId="22">
    <w:name w:val="Hyperlink"/>
    <w:basedOn w:val="20"/>
    <w:qFormat/>
    <w:uiPriority w:val="99"/>
    <w:rPr>
      <w:rFonts w:cs="Times New Roman"/>
      <w:color w:val="0000FF"/>
      <w:u w:val="single"/>
    </w:rPr>
  </w:style>
  <w:style w:type="character" w:styleId="23">
    <w:name w:val="annotation reference"/>
    <w:basedOn w:val="20"/>
    <w:semiHidden/>
    <w:qFormat/>
    <w:uiPriority w:val="99"/>
    <w:rPr>
      <w:rFonts w:cs="Times New Roman"/>
      <w:sz w:val="21"/>
      <w:szCs w:val="21"/>
    </w:rPr>
  </w:style>
  <w:style w:type="character" w:customStyle="1" w:styleId="24">
    <w:name w:val="页脚 Char"/>
    <w:basedOn w:val="20"/>
    <w:link w:val="10"/>
    <w:qFormat/>
    <w:uiPriority w:val="99"/>
    <w:rPr>
      <w:sz w:val="18"/>
      <w:szCs w:val="18"/>
    </w:rPr>
  </w:style>
  <w:style w:type="character" w:customStyle="1" w:styleId="25">
    <w:name w:val="批注框文本 Char"/>
    <w:basedOn w:val="20"/>
    <w:link w:val="9"/>
    <w:qFormat/>
    <w:locked/>
    <w:uiPriority w:val="0"/>
    <w:rPr>
      <w:rFonts w:cs="Times New Roman"/>
      <w:sz w:val="2"/>
    </w:rPr>
  </w:style>
  <w:style w:type="character" w:customStyle="1" w:styleId="26">
    <w:name w:val="批注主题 Char"/>
    <w:basedOn w:val="27"/>
    <w:link w:val="16"/>
    <w:semiHidden/>
    <w:qFormat/>
    <w:locked/>
    <w:uiPriority w:val="99"/>
    <w:rPr>
      <w:rFonts w:cs="Times New Roman"/>
      <w:b/>
      <w:bCs/>
      <w:sz w:val="24"/>
      <w:szCs w:val="24"/>
    </w:rPr>
  </w:style>
  <w:style w:type="character" w:customStyle="1" w:styleId="27">
    <w:name w:val="批注文字 Char"/>
    <w:basedOn w:val="20"/>
    <w:link w:val="4"/>
    <w:semiHidden/>
    <w:qFormat/>
    <w:locked/>
    <w:uiPriority w:val="99"/>
    <w:rPr>
      <w:rFonts w:cs="Times New Roman"/>
      <w:sz w:val="24"/>
      <w:szCs w:val="24"/>
    </w:rPr>
  </w:style>
  <w:style w:type="character" w:customStyle="1" w:styleId="28">
    <w:name w:val="正文文本缩进 2 Char"/>
    <w:basedOn w:val="20"/>
    <w:link w:val="8"/>
    <w:semiHidden/>
    <w:qFormat/>
    <w:locked/>
    <w:uiPriority w:val="99"/>
    <w:rPr>
      <w:rFonts w:cs="Times New Roman"/>
      <w:sz w:val="24"/>
      <w:szCs w:val="24"/>
    </w:rPr>
  </w:style>
  <w:style w:type="character" w:customStyle="1" w:styleId="29">
    <w:name w:val="正文文本 Char"/>
    <w:basedOn w:val="20"/>
    <w:link w:val="5"/>
    <w:qFormat/>
    <w:uiPriority w:val="99"/>
    <w:rPr>
      <w:szCs w:val="24"/>
    </w:rPr>
  </w:style>
  <w:style w:type="paragraph" w:customStyle="1" w:styleId="30">
    <w:name w:val="Char1 Char Char Char"/>
    <w:basedOn w:val="1"/>
    <w:qFormat/>
    <w:uiPriority w:val="99"/>
    <w:rPr>
      <w:szCs w:val="20"/>
    </w:rPr>
  </w:style>
  <w:style w:type="paragraph" w:customStyle="1" w:styleId="31">
    <w:name w:val="表格文字"/>
    <w:basedOn w:val="1"/>
    <w:link w:val="58"/>
    <w:qFormat/>
    <w:uiPriority w:val="0"/>
    <w:pPr>
      <w:jc w:val="center"/>
    </w:pPr>
    <w:rPr>
      <w:rFonts w:ascii="宋体"/>
      <w:sz w:val="24"/>
      <w:szCs w:val="20"/>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4">
    <w:name w:val="表头"/>
    <w:basedOn w:val="12"/>
    <w:qFormat/>
    <w:uiPriority w:val="0"/>
    <w:pPr>
      <w:snapToGrid w:val="0"/>
      <w:spacing w:beforeLines="50" w:afterLines="30" w:line="300" w:lineRule="auto"/>
      <w:jc w:val="center"/>
    </w:pPr>
    <w:rPr>
      <w:rFonts w:eastAsia="仿宋"/>
      <w:b/>
      <w:sz w:val="28"/>
      <w:szCs w:val="20"/>
    </w:rPr>
  </w:style>
  <w:style w:type="character" w:customStyle="1" w:styleId="35">
    <w:name w:val="HTML 预设格式 Char"/>
    <w:basedOn w:val="20"/>
    <w:link w:val="14"/>
    <w:qFormat/>
    <w:uiPriority w:val="99"/>
    <w:rPr>
      <w:rFonts w:ascii="宋体" w:hAnsi="宋体" w:cs="宋体"/>
      <w:sz w:val="24"/>
      <w:szCs w:val="24"/>
    </w:rPr>
  </w:style>
  <w:style w:type="paragraph" w:customStyle="1" w:styleId="36">
    <w:name w:val="Char Char 字元 字元 字元 Char Char Char Char"/>
    <w:basedOn w:val="1"/>
    <w:qFormat/>
    <w:uiPriority w:val="0"/>
    <w:pPr>
      <w:adjustRightInd w:val="0"/>
      <w:spacing w:line="360" w:lineRule="auto"/>
    </w:pPr>
  </w:style>
  <w:style w:type="paragraph" w:customStyle="1" w:styleId="37">
    <w:name w:val="Char Char Char Char Char1 Char Char Char Char Char Char Char Char Char Char"/>
    <w:basedOn w:val="1"/>
    <w:qFormat/>
    <w:uiPriority w:val="0"/>
    <w:pPr>
      <w:adjustRightInd w:val="0"/>
      <w:spacing w:line="360" w:lineRule="auto"/>
    </w:pPr>
    <w:rPr>
      <w:kern w:val="0"/>
      <w:sz w:val="24"/>
      <w:szCs w:val="20"/>
    </w:rPr>
  </w:style>
  <w:style w:type="paragraph" w:customStyle="1" w:styleId="38">
    <w:name w:val="表名"/>
    <w:basedOn w:val="1"/>
    <w:qFormat/>
    <w:uiPriority w:val="0"/>
    <w:pPr>
      <w:adjustRightInd w:val="0"/>
      <w:snapToGrid w:val="0"/>
      <w:spacing w:line="260" w:lineRule="exact"/>
      <w:jc w:val="center"/>
    </w:pPr>
    <w:rPr>
      <w:rFonts w:ascii="宋体" w:hAnsi="宋体"/>
      <w:color w:val="000000"/>
      <w:szCs w:val="21"/>
    </w:rPr>
  </w:style>
  <w:style w:type="character" w:customStyle="1" w:styleId="39">
    <w:name w:val="页眉 Char"/>
    <w:basedOn w:val="20"/>
    <w:link w:val="11"/>
    <w:qFormat/>
    <w:uiPriority w:val="99"/>
    <w:rPr>
      <w:kern w:val="2"/>
      <w:sz w:val="18"/>
      <w:szCs w:val="18"/>
    </w:rPr>
  </w:style>
  <w:style w:type="paragraph" w:customStyle="1" w:styleId="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41">
    <w:name w:val="普通(网站) Char"/>
    <w:link w:val="15"/>
    <w:qFormat/>
    <w:uiPriority w:val="0"/>
    <w:rPr>
      <w:rFonts w:ascii="宋体" w:hAnsi="宋体"/>
      <w:sz w:val="24"/>
      <w:szCs w:val="24"/>
    </w:rPr>
  </w:style>
  <w:style w:type="character" w:customStyle="1" w:styleId="42">
    <w:name w:val="正文缩进 Char"/>
    <w:link w:val="2"/>
    <w:qFormat/>
    <w:uiPriority w:val="0"/>
    <w:rPr>
      <w:rFonts w:ascii="FangSong_GB2312" w:eastAsia="FangSong_GB2312"/>
      <w:kern w:val="2"/>
      <w:sz w:val="28"/>
    </w:rPr>
  </w:style>
  <w:style w:type="paragraph" w:customStyle="1" w:styleId="43">
    <w:name w:val="p0"/>
    <w:basedOn w:val="1"/>
    <w:qFormat/>
    <w:uiPriority w:val="0"/>
    <w:pPr>
      <w:widowControl/>
      <w:jc w:val="left"/>
    </w:pPr>
    <w:rPr>
      <w:rFonts w:hAnsi="宋体" w:cs="宋体"/>
      <w:kern w:val="0"/>
      <w:szCs w:val="21"/>
    </w:rPr>
  </w:style>
  <w:style w:type="paragraph" w:customStyle="1" w:styleId="44">
    <w:name w:val="xl34"/>
    <w:basedOn w:val="1"/>
    <w:qFormat/>
    <w:uiPriority w:val="0"/>
    <w:pPr>
      <w:widowControl/>
      <w:pBdr>
        <w:right w:val="single" w:color="auto" w:sz="4" w:space="0"/>
      </w:pBdr>
      <w:spacing w:before="100" w:beforeAutospacing="1" w:after="100" w:afterAutospacing="1" w:line="360" w:lineRule="auto"/>
      <w:jc w:val="center"/>
      <w:textAlignment w:val="center"/>
    </w:pPr>
    <w:rPr>
      <w:rFonts w:eastAsia="Arial Unicode MS"/>
      <w:kern w:val="0"/>
      <w:szCs w:val="21"/>
    </w:rPr>
  </w:style>
  <w:style w:type="character" w:customStyle="1" w:styleId="45">
    <w:name w:val="正文文本缩进 Char"/>
    <w:basedOn w:val="20"/>
    <w:link w:val="6"/>
    <w:qFormat/>
    <w:uiPriority w:val="99"/>
    <w:rPr>
      <w:kern w:val="2"/>
      <w:sz w:val="21"/>
      <w:szCs w:val="24"/>
    </w:rPr>
  </w:style>
  <w:style w:type="paragraph" w:customStyle="1" w:styleId="46">
    <w:name w:val="表格"/>
    <w:basedOn w:val="1"/>
    <w:qFormat/>
    <w:uiPriority w:val="99"/>
    <w:pPr>
      <w:textAlignment w:val="center"/>
    </w:pPr>
    <w:rPr>
      <w:rFonts w:eastAsia="楷体_GB2312"/>
      <w:sz w:val="24"/>
      <w:szCs w:val="20"/>
    </w:rPr>
  </w:style>
  <w:style w:type="paragraph" w:customStyle="1" w:styleId="47">
    <w:name w:val="表格文字2"/>
    <w:basedOn w:val="1"/>
    <w:link w:val="48"/>
    <w:qFormat/>
    <w:uiPriority w:val="0"/>
    <w:pPr>
      <w:tabs>
        <w:tab w:val="left" w:pos="277"/>
        <w:tab w:val="left" w:pos="600"/>
        <w:tab w:val="left" w:pos="780"/>
        <w:tab w:val="left" w:pos="2517"/>
      </w:tabs>
      <w:adjustRightInd w:val="0"/>
      <w:snapToGrid w:val="0"/>
      <w:jc w:val="center"/>
      <w:textAlignment w:val="baseline"/>
    </w:pPr>
    <w:rPr>
      <w:kern w:val="0"/>
      <w:szCs w:val="21"/>
    </w:rPr>
  </w:style>
  <w:style w:type="character" w:customStyle="1" w:styleId="48">
    <w:name w:val="表格文字2 Char"/>
    <w:link w:val="47"/>
    <w:qFormat/>
    <w:uiPriority w:val="0"/>
    <w:rPr>
      <w:sz w:val="21"/>
      <w:szCs w:val="21"/>
    </w:rPr>
  </w:style>
  <w:style w:type="character" w:customStyle="1" w:styleId="49">
    <w:name w:val="纯文本 Char"/>
    <w:basedOn w:val="20"/>
    <w:link w:val="7"/>
    <w:qFormat/>
    <w:uiPriority w:val="99"/>
    <w:rPr>
      <w:rFonts w:ascii="宋体" w:hAnsi="Courier New"/>
      <w:kern w:val="2"/>
      <w:sz w:val="21"/>
      <w:szCs w:val="24"/>
    </w:rPr>
  </w:style>
  <w:style w:type="paragraph" w:customStyle="1" w:styleId="50">
    <w:name w:val="Table Paragraph"/>
    <w:basedOn w:val="1"/>
    <w:qFormat/>
    <w:uiPriority w:val="1"/>
    <w:pPr>
      <w:jc w:val="left"/>
    </w:pPr>
    <w:rPr>
      <w:rFonts w:asciiTheme="minorHAnsi" w:hAnsiTheme="minorHAnsi" w:eastAsiaTheme="minorEastAsia" w:cstheme="minorBidi"/>
      <w:kern w:val="0"/>
      <w:sz w:val="22"/>
      <w:szCs w:val="22"/>
      <w:lang w:eastAsia="en-US"/>
    </w:rPr>
  </w:style>
  <w:style w:type="character" w:customStyle="1" w:styleId="51">
    <w:name w:val="正文文本缩进 3 Char"/>
    <w:basedOn w:val="20"/>
    <w:link w:val="13"/>
    <w:semiHidden/>
    <w:qFormat/>
    <w:uiPriority w:val="99"/>
    <w:rPr>
      <w:kern w:val="2"/>
      <w:sz w:val="16"/>
      <w:szCs w:val="16"/>
    </w:rPr>
  </w:style>
  <w:style w:type="character" w:customStyle="1" w:styleId="52">
    <w:name w:val="正文首行缩进 2 Char"/>
    <w:basedOn w:val="20"/>
    <w:link w:val="17"/>
    <w:qFormat/>
    <w:uiPriority w:val="0"/>
    <w:rPr>
      <w:kern w:val="2"/>
      <w:sz w:val="21"/>
      <w:szCs w:val="24"/>
    </w:rPr>
  </w:style>
  <w:style w:type="character" w:customStyle="1" w:styleId="53">
    <w:name w:val="正文首行缩进 2 Char1"/>
    <w:basedOn w:val="45"/>
    <w:link w:val="17"/>
    <w:semiHidden/>
    <w:qFormat/>
    <w:uiPriority w:val="99"/>
  </w:style>
  <w:style w:type="paragraph" w:customStyle="1" w:styleId="54">
    <w:name w:val="正文缩进1"/>
    <w:basedOn w:val="1"/>
    <w:qFormat/>
    <w:uiPriority w:val="0"/>
    <w:pPr>
      <w:ind w:firstLine="420" w:firstLineChars="200"/>
    </w:pPr>
  </w:style>
  <w:style w:type="paragraph" w:customStyle="1" w:styleId="55">
    <w:name w:val="正文01"/>
    <w:basedOn w:val="1"/>
    <w:qFormat/>
    <w:uiPriority w:val="0"/>
    <w:pPr>
      <w:spacing w:before="60" w:line="460" w:lineRule="exact"/>
      <w:ind w:firstLine="200" w:firstLineChars="200"/>
    </w:pPr>
    <w:rPr>
      <w:sz w:val="24"/>
    </w:rPr>
  </w:style>
  <w:style w:type="paragraph" w:customStyle="1" w:styleId="56">
    <w:name w:val="表格正文"/>
    <w:basedOn w:val="1"/>
    <w:next w:val="1"/>
    <w:qFormat/>
    <w:uiPriority w:val="0"/>
    <w:pPr>
      <w:spacing w:line="240" w:lineRule="exact"/>
      <w:jc w:val="center"/>
    </w:pPr>
  </w:style>
  <w:style w:type="character" w:customStyle="1" w:styleId="57">
    <w:name w:val="文档结构图 Char"/>
    <w:basedOn w:val="20"/>
    <w:link w:val="3"/>
    <w:semiHidden/>
    <w:qFormat/>
    <w:uiPriority w:val="99"/>
    <w:rPr>
      <w:rFonts w:ascii="宋体"/>
      <w:kern w:val="2"/>
      <w:sz w:val="18"/>
      <w:szCs w:val="18"/>
    </w:rPr>
  </w:style>
  <w:style w:type="character" w:customStyle="1" w:styleId="58">
    <w:name w:val="表格文字 Char"/>
    <w:link w:val="31"/>
    <w:qFormat/>
    <w:locked/>
    <w:uiPriority w:val="0"/>
    <w:rPr>
      <w:rFonts w:ascii="宋体"/>
      <w:kern w:val="2"/>
      <w:sz w:val="24"/>
    </w:rPr>
  </w:style>
  <w:style w:type="character" w:customStyle="1" w:styleId="59">
    <w:name w:val="f14b1"/>
    <w:qFormat/>
    <w:uiPriority w:val="0"/>
    <w:rPr>
      <w:b/>
      <w:bCs/>
      <w:sz w:val="21"/>
      <w:szCs w:val="21"/>
    </w:rPr>
  </w:style>
  <w:style w:type="paragraph" w:customStyle="1" w:styleId="60">
    <w:name w:val="表中文字"/>
    <w:qFormat/>
    <w:uiPriority w:val="99"/>
    <w:pPr>
      <w:spacing w:line="440" w:lineRule="exact"/>
      <w:jc w:val="center"/>
    </w:pPr>
    <w:rPr>
      <w:rFonts w:ascii="Calibri" w:hAnsi="Calibri" w:eastAsia="楷体_GB2312" w:cs="Times New Roman"/>
      <w:spacing w:val="8"/>
      <w:sz w:val="21"/>
      <w:szCs w:val="28"/>
      <w:lang w:val="en-US" w:eastAsia="zh-CN" w:bidi="ar-SA"/>
    </w:rPr>
  </w:style>
  <w:style w:type="paragraph" w:customStyle="1" w:styleId="61">
    <w:name w:val="环正文"/>
    <w:basedOn w:val="1"/>
    <w:qFormat/>
    <w:uiPriority w:val="0"/>
    <w:pPr>
      <w:widowControl/>
      <w:tabs>
        <w:tab w:val="left" w:pos="5094"/>
      </w:tabs>
      <w:adjustRightInd w:val="0"/>
      <w:snapToGrid w:val="0"/>
      <w:spacing w:after="200" w:line="360" w:lineRule="auto"/>
      <w:jc w:val="left"/>
      <w:textAlignment w:val="baseline"/>
    </w:pPr>
    <w:rPr>
      <w:rFonts w:ascii="Tahoma" w:hAnsi="Tahoma" w:eastAsia="FangSong_GB2312"/>
      <w:b/>
      <w:color w:val="000000"/>
      <w:kern w:val="24"/>
      <w:sz w:val="22"/>
      <w:szCs w:val="22"/>
    </w:rPr>
  </w:style>
  <w:style w:type="paragraph" w:customStyle="1" w:styleId="62">
    <w:name w:val="4"/>
    <w:basedOn w:val="1"/>
    <w:next w:val="8"/>
    <w:qFormat/>
    <w:uiPriority w:val="0"/>
    <w:pPr>
      <w:spacing w:line="500" w:lineRule="exact"/>
      <w:ind w:firstLine="560"/>
    </w:pPr>
    <w:rPr>
      <w:rFonts w:ascii="FangSong_GB2312" w:eastAsia="FangSong_GB2312"/>
      <w:color w:val="000000"/>
      <w:sz w:val="28"/>
      <w:szCs w:val="20"/>
    </w:rPr>
  </w:style>
  <w:style w:type="paragraph" w:customStyle="1" w:styleId="63">
    <w:name w:val="xl27"/>
    <w:basedOn w:val="1"/>
    <w:qFormat/>
    <w:uiPriority w:val="0"/>
    <w:pPr>
      <w:widowControl/>
      <w:spacing w:before="100" w:beforeAutospacing="1" w:after="100" w:afterAutospacing="1"/>
      <w:jc w:val="center"/>
    </w:pPr>
    <w:rPr>
      <w:rFonts w:ascii="Arial Unicode MS" w:hAnsi="Arial Unicode MS"/>
      <w:color w:val="FF000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wmf"/><Relationship Id="rId17" Type="http://schemas.openxmlformats.org/officeDocument/2006/relationships/oleObject" Target="embeddings/oleObject5.bin"/><Relationship Id="rId16" Type="http://schemas.openxmlformats.org/officeDocument/2006/relationships/image" Target="media/image4.wmf"/><Relationship Id="rId15" Type="http://schemas.openxmlformats.org/officeDocument/2006/relationships/oleObject" Target="embeddings/oleObject4.bin"/><Relationship Id="rId14" Type="http://schemas.openxmlformats.org/officeDocument/2006/relationships/image" Target="media/image3.wmf"/><Relationship Id="rId13" Type="http://schemas.openxmlformats.org/officeDocument/2006/relationships/oleObject" Target="embeddings/oleObject3.bin"/><Relationship Id="rId12" Type="http://schemas.openxmlformats.org/officeDocument/2006/relationships/image" Target="media/image2.w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7"/>
    <customShpInfo spid="_x0000_s1036"/>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D3A09-5897-4071-B25C-6AB9FB9EA62D}">
  <ds:schemaRefs/>
</ds:datastoreItem>
</file>

<file path=docProps/app.xml><?xml version="1.0" encoding="utf-8"?>
<Properties xmlns="http://schemas.openxmlformats.org/officeDocument/2006/extended-properties" xmlns:vt="http://schemas.openxmlformats.org/officeDocument/2006/docPropsVTypes">
  <Template>Normal.dotm</Template>
  <Company>www.xunchi.com</Company>
  <Pages>40</Pages>
  <Words>3031</Words>
  <Characters>17279</Characters>
  <Lines>143</Lines>
  <Paragraphs>40</Paragraphs>
  <TotalTime>1</TotalTime>
  <ScaleCrop>false</ScaleCrop>
  <LinksUpToDate>false</LinksUpToDate>
  <CharactersWithSpaces>20270</CharactersWithSpaces>
  <Application>WPS Office_11.3.0.8586_F1E327BC-269C-435d-A152-05C5408002CA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2019-02-20T01:56:00Z</dcterms:created>
  <dc:creator>48号采样员</dc:creator>
  <cp:lastModifiedBy>13776</cp:lastModifiedBy>
  <cp:lastPrinted>2016-01-22T01:19:00Z</cp:lastPrinted>
  <dcterms:modified xsi:type="dcterms:W3CDTF">2019-06-03T00:52:30Z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